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7A90" w:rsidRDefault="00A27A90" w:rsidP="00A27A90">
      <w:pPr>
        <w:pStyle w:val="Header"/>
        <w:pBdr>
          <w:bottom w:val="thickThinSmallGap" w:sz="24" w:space="1" w:color="800000"/>
        </w:pBdr>
        <w:jc w:val="center"/>
      </w:pPr>
      <w:r>
        <w:rPr>
          <w:rFonts w:ascii="Cambria" w:eastAsia="Times New Roman" w:hAnsi="Cambria" w:cs="Cambria"/>
          <w:sz w:val="32"/>
          <w:szCs w:val="32"/>
        </w:rPr>
        <w:t>Policy Change Proposal</w:t>
      </w:r>
    </w:p>
    <w:p w:rsidR="00A27A90" w:rsidRDefault="00A27A90" w:rsidP="00A27A90">
      <w:pPr>
        <w:pStyle w:val="Header"/>
      </w:pPr>
    </w:p>
    <w:p w:rsidR="00A27A90" w:rsidRDefault="00A27A90" w:rsidP="00A27A90">
      <w:pPr>
        <w:spacing w:line="240" w:lineRule="auto"/>
        <w:contextualSpacing/>
        <w:rPr>
          <w:b/>
          <w:sz w:val="24"/>
          <w:szCs w:val="24"/>
        </w:rPr>
      </w:pPr>
      <w:r>
        <w:rPr>
          <w:b/>
          <w:sz w:val="24"/>
          <w:szCs w:val="24"/>
        </w:rPr>
        <w:t>Policy Change Proposer</w:t>
      </w:r>
      <w:r>
        <w:rPr>
          <w:sz w:val="24"/>
          <w:szCs w:val="24"/>
        </w:rPr>
        <w:t>: Alisha Tuttle, RN, NCM</w:t>
      </w:r>
    </w:p>
    <w:p w:rsidR="00A27A90" w:rsidRDefault="00A27A90" w:rsidP="00A27A90">
      <w:pPr>
        <w:spacing w:line="240" w:lineRule="auto"/>
        <w:contextualSpacing/>
        <w:rPr>
          <w:b/>
          <w:sz w:val="24"/>
          <w:szCs w:val="24"/>
        </w:rPr>
      </w:pPr>
      <w:r>
        <w:rPr>
          <w:b/>
          <w:sz w:val="24"/>
          <w:szCs w:val="24"/>
        </w:rPr>
        <w:t>Submitted</w:t>
      </w:r>
      <w:r>
        <w:rPr>
          <w:sz w:val="24"/>
          <w:szCs w:val="24"/>
        </w:rPr>
        <w:t>: 7/23/2014</w:t>
      </w:r>
    </w:p>
    <w:p w:rsidR="00A27A90" w:rsidRDefault="00A27A90" w:rsidP="00A27A90">
      <w:pPr>
        <w:spacing w:line="240" w:lineRule="auto"/>
        <w:contextualSpacing/>
        <w:rPr>
          <w:b/>
          <w:sz w:val="24"/>
          <w:szCs w:val="24"/>
        </w:rPr>
      </w:pPr>
      <w:r>
        <w:rPr>
          <w:b/>
          <w:sz w:val="24"/>
          <w:szCs w:val="24"/>
        </w:rPr>
        <w:t>Policy Change Proposed</w:t>
      </w:r>
      <w:r>
        <w:rPr>
          <w:sz w:val="24"/>
          <w:szCs w:val="24"/>
        </w:rPr>
        <w:t>: Amendment to existing policy</w:t>
      </w:r>
    </w:p>
    <w:p w:rsidR="00A27A90" w:rsidRDefault="00A27A90" w:rsidP="00A27A90">
      <w:pPr>
        <w:spacing w:line="240" w:lineRule="auto"/>
        <w:contextualSpacing/>
        <w:rPr>
          <w:b/>
          <w:color w:val="632423"/>
          <w:sz w:val="24"/>
          <w:szCs w:val="24"/>
        </w:rPr>
      </w:pPr>
      <w:r>
        <w:rPr>
          <w:b/>
          <w:sz w:val="24"/>
          <w:szCs w:val="24"/>
        </w:rPr>
        <w:t>Department</w:t>
      </w:r>
      <w:r w:rsidR="00C14391">
        <w:rPr>
          <w:sz w:val="24"/>
          <w:szCs w:val="24"/>
        </w:rPr>
        <w:t>: Medical Home</w:t>
      </w:r>
    </w:p>
    <w:p w:rsidR="00A27A90" w:rsidRDefault="00A27A90" w:rsidP="00A27A90">
      <w:pPr>
        <w:spacing w:line="240" w:lineRule="auto"/>
        <w:contextualSpacing/>
        <w:rPr>
          <w:rFonts w:ascii="Cambria" w:hAnsi="Cambria" w:cs="Cambria"/>
          <w:b/>
          <w:sz w:val="32"/>
          <w:szCs w:val="32"/>
        </w:rPr>
      </w:pPr>
      <w:r>
        <w:rPr>
          <w:b/>
          <w:color w:val="632423"/>
          <w:sz w:val="24"/>
          <w:szCs w:val="24"/>
        </w:rPr>
        <w:t>_____________________________________________________________________________</w:t>
      </w:r>
    </w:p>
    <w:p w:rsidR="00A27A90" w:rsidRDefault="00A27A90" w:rsidP="00A27A90">
      <w:pPr>
        <w:spacing w:line="240" w:lineRule="auto"/>
        <w:contextualSpacing/>
        <w:rPr>
          <w:rFonts w:cs="Calibri"/>
          <w:sz w:val="24"/>
          <w:szCs w:val="24"/>
        </w:rPr>
      </w:pPr>
      <w:r>
        <w:rPr>
          <w:rFonts w:ascii="Cambria" w:hAnsi="Cambria" w:cs="Cambria"/>
          <w:b/>
          <w:sz w:val="32"/>
          <w:szCs w:val="32"/>
        </w:rPr>
        <w:t>Summary</w:t>
      </w:r>
    </w:p>
    <w:p w:rsidR="00A27A90" w:rsidRDefault="00A27A90" w:rsidP="00A27A90">
      <w:pPr>
        <w:spacing w:line="240" w:lineRule="auto"/>
        <w:contextualSpacing/>
        <w:rPr>
          <w:rFonts w:ascii="Cambria" w:hAnsi="Cambria" w:cs="Cambria"/>
          <w:b/>
          <w:color w:val="632423"/>
          <w:sz w:val="32"/>
          <w:szCs w:val="32"/>
        </w:rPr>
      </w:pPr>
      <w:r>
        <w:rPr>
          <w:rFonts w:cs="Calibri"/>
          <w:sz w:val="24"/>
          <w:szCs w:val="24"/>
        </w:rPr>
        <w:t xml:space="preserve">This proposal aims to improve management of the </w:t>
      </w:r>
      <w:r w:rsidR="00C14391">
        <w:rPr>
          <w:rFonts w:cs="Calibri"/>
          <w:sz w:val="24"/>
          <w:szCs w:val="24"/>
        </w:rPr>
        <w:t>Medical Home (M</w:t>
      </w:r>
      <w:r>
        <w:rPr>
          <w:rFonts w:cs="Calibri"/>
          <w:sz w:val="24"/>
          <w:szCs w:val="24"/>
        </w:rPr>
        <w:t>H) pediatric population by demonstrating that risk factors for chronic illness and cardiovascular disease differ in pediatric p</w:t>
      </w:r>
      <w:r w:rsidR="00C14391">
        <w:rPr>
          <w:rFonts w:cs="Calibri"/>
          <w:sz w:val="24"/>
          <w:szCs w:val="24"/>
        </w:rPr>
        <w:t>opulations. It will argue that M</w:t>
      </w:r>
      <w:r>
        <w:rPr>
          <w:rFonts w:cs="Calibri"/>
          <w:sz w:val="24"/>
          <w:szCs w:val="24"/>
        </w:rPr>
        <w:t>H pediatric clients require a separate risk assessment process for effective management.</w:t>
      </w:r>
    </w:p>
    <w:p w:rsidR="00A27A90" w:rsidRDefault="00A27A90" w:rsidP="00A27A90">
      <w:pPr>
        <w:spacing w:line="240" w:lineRule="auto"/>
        <w:contextualSpacing/>
        <w:rPr>
          <w:rFonts w:ascii="Cambria" w:hAnsi="Cambria" w:cs="Cambria"/>
          <w:b/>
          <w:sz w:val="32"/>
          <w:szCs w:val="32"/>
        </w:rPr>
      </w:pPr>
      <w:r>
        <w:rPr>
          <w:rFonts w:ascii="Cambria" w:hAnsi="Cambria" w:cs="Cambria"/>
          <w:b/>
          <w:color w:val="632423"/>
          <w:sz w:val="32"/>
          <w:szCs w:val="32"/>
        </w:rPr>
        <w:t>______________________________________________________________________________</w:t>
      </w:r>
    </w:p>
    <w:p w:rsidR="00A27A90" w:rsidRDefault="00A27A90" w:rsidP="00A27A90">
      <w:pPr>
        <w:spacing w:line="240" w:lineRule="auto"/>
        <w:contextualSpacing/>
        <w:rPr>
          <w:rFonts w:cs="Calibri"/>
          <w:sz w:val="24"/>
          <w:szCs w:val="24"/>
        </w:rPr>
      </w:pPr>
      <w:r>
        <w:rPr>
          <w:rFonts w:ascii="Cambria" w:hAnsi="Cambria" w:cs="Cambria"/>
          <w:b/>
          <w:sz w:val="32"/>
          <w:szCs w:val="32"/>
        </w:rPr>
        <w:t>Current Policy</w:t>
      </w:r>
    </w:p>
    <w:p w:rsidR="00A27A90" w:rsidRDefault="00A27A90" w:rsidP="00A27A90">
      <w:pPr>
        <w:spacing w:line="240" w:lineRule="auto"/>
        <w:contextualSpacing/>
        <w:rPr>
          <w:rFonts w:ascii="Cambria" w:hAnsi="Cambria" w:cs="Cambria"/>
          <w:b/>
          <w:color w:val="632423"/>
          <w:sz w:val="32"/>
          <w:szCs w:val="32"/>
        </w:rPr>
      </w:pPr>
      <w:r>
        <w:rPr>
          <w:rFonts w:cs="Calibri"/>
          <w:sz w:val="24"/>
          <w:szCs w:val="24"/>
        </w:rPr>
        <w:t xml:space="preserve">According to </w:t>
      </w:r>
      <w:r w:rsidR="00C14391">
        <w:rPr>
          <w:rFonts w:cs="Calibri"/>
          <w:sz w:val="24"/>
          <w:szCs w:val="24"/>
        </w:rPr>
        <w:t>Behavioral Health policy</w:t>
      </w:r>
      <w:r>
        <w:rPr>
          <w:rFonts w:cs="Calibri"/>
          <w:sz w:val="24"/>
          <w:szCs w:val="24"/>
        </w:rPr>
        <w:t>, Nurse Care Managers (NCMs) routinely complete a Risk Assessment Tool on each client annually in order to assess their risk for cardiovascular disease, chronic illness, or premature death. The same form is used for all clients regardless of age. Clients are ranked from 1-3, with 1 defined as “low risk” and 3 defined as “high risk.” This number is used to triage clients and determine acuity.</w:t>
      </w:r>
    </w:p>
    <w:p w:rsidR="00A27A90" w:rsidRDefault="00A27A90" w:rsidP="00A27A90">
      <w:pPr>
        <w:spacing w:line="240" w:lineRule="auto"/>
        <w:contextualSpacing/>
        <w:rPr>
          <w:rFonts w:ascii="Cambria" w:hAnsi="Cambria" w:cs="Cambria"/>
          <w:b/>
          <w:sz w:val="32"/>
          <w:szCs w:val="32"/>
        </w:rPr>
      </w:pPr>
      <w:r>
        <w:rPr>
          <w:rFonts w:ascii="Cambria" w:hAnsi="Cambria" w:cs="Cambria"/>
          <w:b/>
          <w:color w:val="632423"/>
          <w:sz w:val="32"/>
          <w:szCs w:val="32"/>
        </w:rPr>
        <w:t>______________________________________________________________________________</w:t>
      </w:r>
    </w:p>
    <w:p w:rsidR="00A27A90" w:rsidRDefault="00A27A90" w:rsidP="00A27A90">
      <w:pPr>
        <w:spacing w:line="240" w:lineRule="auto"/>
        <w:contextualSpacing/>
        <w:rPr>
          <w:rFonts w:cs="Calibri"/>
          <w:sz w:val="24"/>
          <w:szCs w:val="24"/>
        </w:rPr>
      </w:pPr>
      <w:r>
        <w:rPr>
          <w:rFonts w:ascii="Cambria" w:hAnsi="Cambria" w:cs="Cambria"/>
          <w:b/>
          <w:sz w:val="32"/>
          <w:szCs w:val="32"/>
        </w:rPr>
        <w:t>Background of Problem</w:t>
      </w:r>
    </w:p>
    <w:p w:rsidR="00A27A90" w:rsidRDefault="00A27A90" w:rsidP="00A27A90">
      <w:pPr>
        <w:spacing w:line="240" w:lineRule="auto"/>
        <w:contextualSpacing/>
        <w:rPr>
          <w:rFonts w:cs="Calibri"/>
          <w:sz w:val="24"/>
          <w:szCs w:val="24"/>
        </w:rPr>
      </w:pPr>
      <w:r>
        <w:rPr>
          <w:rFonts w:cs="Calibri"/>
          <w:sz w:val="24"/>
          <w:szCs w:val="24"/>
        </w:rPr>
        <w:t>Appropriate screening for risk factors allows NCMs to intervene with at-risk clients by providing education or connecting with the client’s healthcare providers to provide them with information. By triaging clients, NCMs are able to identify individuals who are the highest risk for premature death or chronic health conditions. This process allows NCMs to help guide clients towards a healthier and longer life.</w:t>
      </w:r>
    </w:p>
    <w:p w:rsidR="00A27A90" w:rsidRDefault="00A27A90" w:rsidP="00A27A90">
      <w:pPr>
        <w:spacing w:line="240" w:lineRule="auto"/>
        <w:contextualSpacing/>
        <w:rPr>
          <w:rFonts w:cs="Calibri"/>
          <w:sz w:val="24"/>
          <w:szCs w:val="24"/>
        </w:rPr>
      </w:pPr>
    </w:p>
    <w:p w:rsidR="00A27A90" w:rsidRDefault="00A27A90" w:rsidP="00A27A90">
      <w:pPr>
        <w:spacing w:line="240" w:lineRule="auto"/>
        <w:contextualSpacing/>
        <w:rPr>
          <w:rFonts w:ascii="Cambria" w:hAnsi="Cambria" w:cs="Cambria"/>
          <w:b/>
          <w:color w:val="632423"/>
          <w:sz w:val="32"/>
          <w:szCs w:val="32"/>
        </w:rPr>
      </w:pPr>
      <w:r>
        <w:rPr>
          <w:rFonts w:cs="Calibri"/>
          <w:sz w:val="24"/>
          <w:szCs w:val="24"/>
        </w:rPr>
        <w:t>However, this process is incongruent with the needs o</w:t>
      </w:r>
      <w:r w:rsidR="00C14391">
        <w:rPr>
          <w:rFonts w:cs="Calibri"/>
          <w:sz w:val="24"/>
          <w:szCs w:val="24"/>
        </w:rPr>
        <w:t>f pediatric M</w:t>
      </w:r>
      <w:r>
        <w:rPr>
          <w:rFonts w:cs="Calibri"/>
          <w:sz w:val="24"/>
          <w:szCs w:val="24"/>
        </w:rPr>
        <w:t xml:space="preserve">H clients. Out of 80 pediatric clients, only two are currently ranked as a 2, or “medium risk.” None of them are ranked as a 3, or “high risk.” Thus, no pediatric clients are considered high acuity by current standards. The current Risk Assessment Tool relies on medical conditions, BMI, lifestyle factors and lipid measurements that are more relevant to adults than children. This proposal will demonstrate that risk factors for adults and children are, in fact, quite different and require a different system. </w:t>
      </w:r>
    </w:p>
    <w:p w:rsidR="00A27A90" w:rsidRDefault="00A27A90" w:rsidP="00A27A90">
      <w:pPr>
        <w:spacing w:line="240" w:lineRule="auto"/>
        <w:contextualSpacing/>
        <w:rPr>
          <w:rFonts w:ascii="Cambria" w:hAnsi="Cambria" w:cs="Cambria"/>
          <w:b/>
          <w:sz w:val="32"/>
          <w:szCs w:val="32"/>
        </w:rPr>
      </w:pPr>
      <w:r>
        <w:rPr>
          <w:rFonts w:ascii="Cambria" w:hAnsi="Cambria" w:cs="Cambria"/>
          <w:b/>
          <w:color w:val="632423"/>
          <w:sz w:val="32"/>
          <w:szCs w:val="32"/>
        </w:rPr>
        <w:t>______________________________________________________________________________</w:t>
      </w:r>
    </w:p>
    <w:p w:rsidR="00A27A90" w:rsidRDefault="00A27A90" w:rsidP="00A27A90">
      <w:pPr>
        <w:spacing w:line="240" w:lineRule="auto"/>
        <w:contextualSpacing/>
        <w:rPr>
          <w:rFonts w:ascii="Cambria" w:hAnsi="Cambria" w:cs="Cambria"/>
          <w:b/>
          <w:sz w:val="32"/>
          <w:szCs w:val="32"/>
        </w:rPr>
      </w:pPr>
      <w:r>
        <w:rPr>
          <w:rFonts w:ascii="Cambria" w:hAnsi="Cambria" w:cs="Cambria"/>
          <w:b/>
          <w:sz w:val="32"/>
          <w:szCs w:val="32"/>
        </w:rPr>
        <w:t>Implementation of Policy:</w:t>
      </w:r>
    </w:p>
    <w:p w:rsidR="00A27A90" w:rsidRDefault="00A27A90" w:rsidP="00A27A90">
      <w:pPr>
        <w:spacing w:line="240" w:lineRule="auto"/>
        <w:contextualSpacing/>
        <w:rPr>
          <w:sz w:val="24"/>
          <w:szCs w:val="24"/>
        </w:rPr>
      </w:pPr>
      <w:r>
        <w:rPr>
          <w:rFonts w:ascii="Cambria" w:hAnsi="Cambria" w:cs="Cambria"/>
          <w:b/>
          <w:sz w:val="32"/>
          <w:szCs w:val="32"/>
        </w:rPr>
        <w:t>Risk Assessment Tool Changes</w:t>
      </w:r>
    </w:p>
    <w:p w:rsidR="00A27A90" w:rsidRDefault="00A27A90" w:rsidP="00A27A90">
      <w:pPr>
        <w:spacing w:line="240" w:lineRule="auto"/>
        <w:contextualSpacing/>
        <w:rPr>
          <w:sz w:val="24"/>
          <w:szCs w:val="24"/>
        </w:rPr>
      </w:pPr>
      <w:r>
        <w:rPr>
          <w:sz w:val="24"/>
          <w:szCs w:val="24"/>
        </w:rPr>
        <w:t>The following changes have been proposed for the current Risk Assessment Tool:</w:t>
      </w:r>
    </w:p>
    <w:p w:rsidR="00A27A90" w:rsidRDefault="00A27A90" w:rsidP="00A27A90">
      <w:pPr>
        <w:pStyle w:val="ListParagraph"/>
        <w:numPr>
          <w:ilvl w:val="0"/>
          <w:numId w:val="4"/>
        </w:numPr>
        <w:spacing w:line="240" w:lineRule="auto"/>
        <w:rPr>
          <w:sz w:val="24"/>
          <w:szCs w:val="24"/>
        </w:rPr>
      </w:pPr>
      <w:r>
        <w:rPr>
          <w:sz w:val="24"/>
          <w:szCs w:val="24"/>
        </w:rPr>
        <w:t>Include family history of cardiovascular disease, diabetes, obesity, and hypertension (DHHS, 2012).</w:t>
      </w:r>
    </w:p>
    <w:p w:rsidR="00A27A90" w:rsidRDefault="00A27A90" w:rsidP="00A27A90">
      <w:pPr>
        <w:pStyle w:val="ListParagraph"/>
        <w:numPr>
          <w:ilvl w:val="0"/>
          <w:numId w:val="4"/>
        </w:numPr>
        <w:spacing w:line="240" w:lineRule="auto"/>
        <w:rPr>
          <w:sz w:val="24"/>
          <w:szCs w:val="24"/>
        </w:rPr>
      </w:pPr>
      <w:r>
        <w:rPr>
          <w:sz w:val="24"/>
          <w:szCs w:val="24"/>
        </w:rPr>
        <w:lastRenderedPageBreak/>
        <w:t>Add exposure to secondhand smoke to the “Tobacco Smoking or Use” section (DHHS, 2012; Pirkle et al., 2006; Wilson et al., 2010).</w:t>
      </w:r>
    </w:p>
    <w:p w:rsidR="00A27A90" w:rsidRDefault="00A27A90" w:rsidP="00A27A90">
      <w:pPr>
        <w:pStyle w:val="ListParagraph"/>
        <w:numPr>
          <w:ilvl w:val="0"/>
          <w:numId w:val="4"/>
        </w:numPr>
        <w:spacing w:line="240" w:lineRule="auto"/>
        <w:rPr>
          <w:sz w:val="24"/>
          <w:szCs w:val="24"/>
        </w:rPr>
      </w:pPr>
      <w:r>
        <w:rPr>
          <w:sz w:val="24"/>
          <w:szCs w:val="24"/>
        </w:rPr>
        <w:t>Change the “exercise” section to reflect the recommendation that children should exercise at least 1 hour per day (DHHS, 2012).</w:t>
      </w:r>
    </w:p>
    <w:p w:rsidR="00A27A90" w:rsidRDefault="00A27A90" w:rsidP="00A27A90">
      <w:pPr>
        <w:pStyle w:val="ListParagraph"/>
        <w:numPr>
          <w:ilvl w:val="0"/>
          <w:numId w:val="4"/>
        </w:numPr>
        <w:spacing w:line="240" w:lineRule="auto"/>
        <w:rPr>
          <w:sz w:val="24"/>
          <w:szCs w:val="24"/>
        </w:rPr>
      </w:pPr>
      <w:r>
        <w:rPr>
          <w:sz w:val="24"/>
          <w:szCs w:val="24"/>
        </w:rPr>
        <w:t>Use BMI-for-age percentile in lieu of BMI to assess a child’s weight (CDC, 2011; Krebs et al., 2007; Me et al., 2002)</w:t>
      </w:r>
    </w:p>
    <w:p w:rsidR="00A27A90" w:rsidRDefault="00A27A90" w:rsidP="00A27A90">
      <w:pPr>
        <w:pStyle w:val="ListParagraph"/>
        <w:numPr>
          <w:ilvl w:val="0"/>
          <w:numId w:val="4"/>
        </w:numPr>
        <w:spacing w:line="240" w:lineRule="auto"/>
        <w:rPr>
          <w:sz w:val="24"/>
          <w:szCs w:val="24"/>
        </w:rPr>
      </w:pPr>
      <w:r>
        <w:rPr>
          <w:sz w:val="24"/>
          <w:szCs w:val="24"/>
        </w:rPr>
        <w:t>Eliminate the COPD/emphysema section.</w:t>
      </w:r>
    </w:p>
    <w:p w:rsidR="00A27A90" w:rsidRDefault="00A27A90" w:rsidP="00A27A90">
      <w:pPr>
        <w:pStyle w:val="ListParagraph"/>
        <w:numPr>
          <w:ilvl w:val="0"/>
          <w:numId w:val="4"/>
        </w:numPr>
        <w:spacing w:line="240" w:lineRule="auto"/>
        <w:rPr>
          <w:rFonts w:ascii="Cambria" w:hAnsi="Cambria" w:cs="Cambria"/>
          <w:b/>
          <w:color w:val="632423"/>
          <w:sz w:val="32"/>
          <w:szCs w:val="32"/>
        </w:rPr>
      </w:pPr>
      <w:r>
        <w:rPr>
          <w:sz w:val="24"/>
          <w:szCs w:val="24"/>
        </w:rPr>
        <w:t>Change the cholesterol/hyperlipidemia section to reflect current recommendations for healthy lipid levels for children and adolescents.</w:t>
      </w:r>
    </w:p>
    <w:p w:rsidR="00A27A90" w:rsidRDefault="00A27A90" w:rsidP="00A27A90">
      <w:pPr>
        <w:spacing w:line="240" w:lineRule="auto"/>
        <w:contextualSpacing/>
        <w:rPr>
          <w:rFonts w:ascii="Cambria" w:hAnsi="Cambria" w:cs="Cambria"/>
          <w:b/>
          <w:sz w:val="32"/>
          <w:szCs w:val="32"/>
        </w:rPr>
      </w:pPr>
      <w:r>
        <w:rPr>
          <w:rFonts w:ascii="Cambria" w:hAnsi="Cambria" w:cs="Cambria"/>
          <w:b/>
          <w:color w:val="632423"/>
          <w:sz w:val="32"/>
          <w:szCs w:val="32"/>
        </w:rPr>
        <w:t>______________________________________________________________________________</w:t>
      </w:r>
    </w:p>
    <w:p w:rsidR="00A27A90" w:rsidRDefault="00A27A90" w:rsidP="00A27A90">
      <w:pPr>
        <w:spacing w:line="240" w:lineRule="auto"/>
        <w:contextualSpacing/>
        <w:rPr>
          <w:b/>
          <w:sz w:val="28"/>
          <w:szCs w:val="28"/>
        </w:rPr>
      </w:pPr>
      <w:r>
        <w:rPr>
          <w:rFonts w:ascii="Cambria" w:hAnsi="Cambria" w:cs="Cambria"/>
          <w:b/>
          <w:sz w:val="32"/>
          <w:szCs w:val="32"/>
        </w:rPr>
        <w:t>Problems with Current Risk Assessment Tool</w:t>
      </w:r>
    </w:p>
    <w:p w:rsidR="00A27A90" w:rsidRDefault="00A27A90" w:rsidP="00A27A90">
      <w:pPr>
        <w:spacing w:line="240" w:lineRule="auto"/>
        <w:contextualSpacing/>
        <w:rPr>
          <w:sz w:val="24"/>
          <w:szCs w:val="24"/>
        </w:rPr>
      </w:pPr>
      <w:r>
        <w:rPr>
          <w:b/>
          <w:sz w:val="28"/>
          <w:szCs w:val="28"/>
        </w:rPr>
        <w:t>1. We are missing at-risk children due to inaccurate risk assessment of weight.</w:t>
      </w:r>
    </w:p>
    <w:p w:rsidR="00A27A90" w:rsidRDefault="00A27A90" w:rsidP="00A27A90">
      <w:pPr>
        <w:pStyle w:val="ListParagraph"/>
        <w:numPr>
          <w:ilvl w:val="0"/>
          <w:numId w:val="3"/>
        </w:numPr>
        <w:spacing w:line="240" w:lineRule="auto"/>
        <w:rPr>
          <w:sz w:val="24"/>
          <w:szCs w:val="24"/>
        </w:rPr>
      </w:pPr>
      <w:r>
        <w:rPr>
          <w:sz w:val="24"/>
          <w:szCs w:val="24"/>
        </w:rPr>
        <w:t>Appropriate body fat in children changes with age and differs by gender (CDC, 2011; DHHS, 2012; Krebs et al., 2007; Mei et al., 2002; NICHQ, 2014)</w:t>
      </w:r>
    </w:p>
    <w:p w:rsidR="00A27A90" w:rsidRDefault="00A27A90" w:rsidP="00A27A90">
      <w:pPr>
        <w:pStyle w:val="ListParagraph"/>
        <w:numPr>
          <w:ilvl w:val="0"/>
          <w:numId w:val="3"/>
        </w:numPr>
        <w:spacing w:line="240" w:lineRule="auto"/>
        <w:rPr>
          <w:sz w:val="24"/>
          <w:szCs w:val="24"/>
        </w:rPr>
      </w:pPr>
      <w:r>
        <w:rPr>
          <w:sz w:val="24"/>
          <w:szCs w:val="24"/>
        </w:rPr>
        <w:t>The CDC (2011) and DHHS (2012) recommend using BMI-for age:</w:t>
      </w:r>
    </w:p>
    <w:p w:rsidR="00A27A90" w:rsidRDefault="00A27A90" w:rsidP="00A27A90">
      <w:pPr>
        <w:pStyle w:val="ListParagraph"/>
        <w:numPr>
          <w:ilvl w:val="1"/>
          <w:numId w:val="3"/>
        </w:numPr>
        <w:spacing w:line="240" w:lineRule="auto"/>
        <w:rPr>
          <w:sz w:val="24"/>
          <w:szCs w:val="24"/>
        </w:rPr>
      </w:pPr>
      <w:r>
        <w:rPr>
          <w:sz w:val="24"/>
          <w:szCs w:val="24"/>
        </w:rPr>
        <w:t>&lt;5</w:t>
      </w:r>
      <w:r>
        <w:rPr>
          <w:sz w:val="24"/>
          <w:szCs w:val="24"/>
          <w:vertAlign w:val="superscript"/>
        </w:rPr>
        <w:t>th</w:t>
      </w:r>
      <w:r>
        <w:rPr>
          <w:sz w:val="24"/>
          <w:szCs w:val="24"/>
        </w:rPr>
        <w:t xml:space="preserve"> percentile: underweight</w:t>
      </w:r>
    </w:p>
    <w:p w:rsidR="00A27A90" w:rsidRDefault="00A27A90" w:rsidP="00A27A90">
      <w:pPr>
        <w:pStyle w:val="ListParagraph"/>
        <w:numPr>
          <w:ilvl w:val="1"/>
          <w:numId w:val="3"/>
        </w:numPr>
        <w:spacing w:line="240" w:lineRule="auto"/>
        <w:rPr>
          <w:sz w:val="24"/>
          <w:szCs w:val="24"/>
        </w:rPr>
      </w:pPr>
      <w:r>
        <w:rPr>
          <w:sz w:val="24"/>
          <w:szCs w:val="24"/>
        </w:rPr>
        <w:t>5-84</w:t>
      </w:r>
      <w:r>
        <w:rPr>
          <w:sz w:val="24"/>
          <w:szCs w:val="24"/>
          <w:vertAlign w:val="superscript"/>
        </w:rPr>
        <w:t>th</w:t>
      </w:r>
      <w:r>
        <w:rPr>
          <w:sz w:val="24"/>
          <w:szCs w:val="24"/>
        </w:rPr>
        <w:t xml:space="preserve"> percentile: healthy</w:t>
      </w:r>
    </w:p>
    <w:p w:rsidR="00A27A90" w:rsidRDefault="00A27A90" w:rsidP="00A27A90">
      <w:pPr>
        <w:pStyle w:val="ListParagraph"/>
        <w:numPr>
          <w:ilvl w:val="1"/>
          <w:numId w:val="3"/>
        </w:numPr>
        <w:spacing w:line="240" w:lineRule="auto"/>
        <w:rPr>
          <w:sz w:val="24"/>
          <w:szCs w:val="24"/>
        </w:rPr>
      </w:pPr>
      <w:r>
        <w:rPr>
          <w:sz w:val="24"/>
          <w:szCs w:val="24"/>
        </w:rPr>
        <w:t>85</w:t>
      </w:r>
      <w:r>
        <w:rPr>
          <w:sz w:val="24"/>
          <w:szCs w:val="24"/>
          <w:vertAlign w:val="superscript"/>
        </w:rPr>
        <w:t>th</w:t>
      </w:r>
      <w:r>
        <w:rPr>
          <w:sz w:val="24"/>
          <w:szCs w:val="24"/>
        </w:rPr>
        <w:t>-94</w:t>
      </w:r>
      <w:r>
        <w:rPr>
          <w:sz w:val="24"/>
          <w:szCs w:val="24"/>
          <w:vertAlign w:val="superscript"/>
        </w:rPr>
        <w:t>th</w:t>
      </w:r>
      <w:r>
        <w:rPr>
          <w:sz w:val="24"/>
          <w:szCs w:val="24"/>
        </w:rPr>
        <w:t xml:space="preserve"> percentile: overweight</w:t>
      </w:r>
    </w:p>
    <w:p w:rsidR="00A27A90" w:rsidRDefault="00A27A90" w:rsidP="00A27A90">
      <w:pPr>
        <w:pStyle w:val="ListParagraph"/>
        <w:numPr>
          <w:ilvl w:val="1"/>
          <w:numId w:val="3"/>
        </w:numPr>
        <w:spacing w:line="240" w:lineRule="auto"/>
        <w:rPr>
          <w:b/>
          <w:sz w:val="28"/>
          <w:szCs w:val="28"/>
        </w:rPr>
      </w:pPr>
      <w:r>
        <w:rPr>
          <w:sz w:val="24"/>
          <w:szCs w:val="24"/>
        </w:rPr>
        <w:t>&gt;95</w:t>
      </w:r>
      <w:r>
        <w:rPr>
          <w:sz w:val="24"/>
          <w:szCs w:val="24"/>
          <w:vertAlign w:val="superscript"/>
        </w:rPr>
        <w:t>th</w:t>
      </w:r>
      <w:r>
        <w:rPr>
          <w:sz w:val="24"/>
          <w:szCs w:val="24"/>
        </w:rPr>
        <w:t xml:space="preserve"> percentile: obese</w:t>
      </w:r>
    </w:p>
    <w:p w:rsidR="00A27A90" w:rsidRDefault="00A27A90" w:rsidP="00A27A90">
      <w:pPr>
        <w:spacing w:line="240" w:lineRule="auto"/>
        <w:contextualSpacing/>
        <w:rPr>
          <w:sz w:val="24"/>
          <w:szCs w:val="24"/>
        </w:rPr>
      </w:pPr>
      <w:r>
        <w:rPr>
          <w:b/>
          <w:sz w:val="28"/>
          <w:szCs w:val="28"/>
        </w:rPr>
        <w:t>Real-World Examples:</w:t>
      </w:r>
    </w:p>
    <w:p w:rsidR="00A27A90" w:rsidRDefault="00A27A90" w:rsidP="00A27A90">
      <w:pPr>
        <w:spacing w:line="240" w:lineRule="auto"/>
        <w:contextualSpacing/>
        <w:rPr>
          <w:sz w:val="24"/>
          <w:szCs w:val="24"/>
        </w:rPr>
      </w:pPr>
      <w:r>
        <w:rPr>
          <w:sz w:val="24"/>
          <w:szCs w:val="24"/>
        </w:rPr>
        <w:t xml:space="preserve">An eight-year-old girl is 3’10” and 45 lbs. She has a BMI of 15 and has been flagged for being underweight. </w:t>
      </w:r>
    </w:p>
    <w:p w:rsidR="00A27A90" w:rsidRDefault="00A27A90" w:rsidP="00A27A90">
      <w:pPr>
        <w:pStyle w:val="ListParagraph"/>
        <w:numPr>
          <w:ilvl w:val="0"/>
          <w:numId w:val="2"/>
        </w:numPr>
        <w:spacing w:line="240" w:lineRule="auto"/>
        <w:rPr>
          <w:sz w:val="24"/>
          <w:szCs w:val="24"/>
        </w:rPr>
      </w:pPr>
      <w:r>
        <w:rPr>
          <w:sz w:val="24"/>
          <w:szCs w:val="24"/>
        </w:rPr>
        <w:t>Her BMI-for-age is at the 24</w:t>
      </w:r>
      <w:r>
        <w:rPr>
          <w:sz w:val="24"/>
          <w:szCs w:val="24"/>
          <w:vertAlign w:val="superscript"/>
        </w:rPr>
        <w:t>th</w:t>
      </w:r>
      <w:r>
        <w:rPr>
          <w:sz w:val="24"/>
          <w:szCs w:val="24"/>
        </w:rPr>
        <w:t xml:space="preserve"> percentile, which is considered a </w:t>
      </w:r>
      <w:r>
        <w:rPr>
          <w:b/>
          <w:sz w:val="24"/>
          <w:szCs w:val="24"/>
        </w:rPr>
        <w:t>healthy weight</w:t>
      </w:r>
      <w:r>
        <w:rPr>
          <w:sz w:val="24"/>
          <w:szCs w:val="24"/>
        </w:rPr>
        <w:t>.</w:t>
      </w:r>
    </w:p>
    <w:p w:rsidR="00A27A90" w:rsidRDefault="00A27A90" w:rsidP="00A27A90">
      <w:pPr>
        <w:spacing w:line="240" w:lineRule="auto"/>
        <w:contextualSpacing/>
        <w:rPr>
          <w:sz w:val="24"/>
          <w:szCs w:val="24"/>
        </w:rPr>
      </w:pPr>
      <w:r>
        <w:rPr>
          <w:sz w:val="24"/>
          <w:szCs w:val="24"/>
        </w:rPr>
        <w:t>A ten-year-old boy is 4’7” and weighs 105 lbs. His BMI is 24.4, which is considered healthy. He has no flags and ranks a “0” on the Risk Assessment Tool.</w:t>
      </w:r>
    </w:p>
    <w:p w:rsidR="00A27A90" w:rsidRDefault="00A27A90" w:rsidP="00A27A90">
      <w:pPr>
        <w:pStyle w:val="ListParagraph"/>
        <w:numPr>
          <w:ilvl w:val="0"/>
          <w:numId w:val="2"/>
        </w:numPr>
        <w:spacing w:line="240" w:lineRule="auto"/>
        <w:rPr>
          <w:b/>
          <w:sz w:val="28"/>
          <w:szCs w:val="28"/>
        </w:rPr>
      </w:pPr>
      <w:r>
        <w:rPr>
          <w:sz w:val="24"/>
          <w:szCs w:val="24"/>
        </w:rPr>
        <w:t>His BMI-for-age is at the 97</w:t>
      </w:r>
      <w:r>
        <w:rPr>
          <w:sz w:val="24"/>
          <w:szCs w:val="24"/>
          <w:vertAlign w:val="superscript"/>
        </w:rPr>
        <w:t>th</w:t>
      </w:r>
      <w:r>
        <w:rPr>
          <w:sz w:val="24"/>
          <w:szCs w:val="24"/>
        </w:rPr>
        <w:t xml:space="preserve"> percentile, which means that he is </w:t>
      </w:r>
      <w:r>
        <w:rPr>
          <w:b/>
          <w:sz w:val="24"/>
          <w:szCs w:val="24"/>
        </w:rPr>
        <w:t>obese</w:t>
      </w:r>
      <w:r>
        <w:rPr>
          <w:sz w:val="24"/>
          <w:szCs w:val="24"/>
        </w:rPr>
        <w:t xml:space="preserve"> and at risk for health-related problems due to his weight.</w:t>
      </w:r>
    </w:p>
    <w:p w:rsidR="00A27A90" w:rsidRDefault="00A27A90" w:rsidP="00A27A90">
      <w:pPr>
        <w:spacing w:line="240" w:lineRule="auto"/>
        <w:rPr>
          <w:sz w:val="24"/>
          <w:szCs w:val="24"/>
        </w:rPr>
      </w:pPr>
      <w:r>
        <w:rPr>
          <w:b/>
          <w:sz w:val="28"/>
          <w:szCs w:val="28"/>
        </w:rPr>
        <w:t>2. We are not assessing children for family history, which is an important predictor for chronic disease in adulthood.</w:t>
      </w:r>
    </w:p>
    <w:p w:rsidR="00A27A90" w:rsidRDefault="00A27A90" w:rsidP="00A27A90">
      <w:pPr>
        <w:pStyle w:val="ListParagraph"/>
        <w:numPr>
          <w:ilvl w:val="0"/>
          <w:numId w:val="2"/>
        </w:numPr>
        <w:spacing w:line="240" w:lineRule="auto"/>
        <w:rPr>
          <w:sz w:val="24"/>
          <w:szCs w:val="24"/>
        </w:rPr>
      </w:pPr>
      <w:r>
        <w:rPr>
          <w:sz w:val="24"/>
          <w:szCs w:val="24"/>
        </w:rPr>
        <w:t>Family history of stroke, obesity, type II diabetes, and/or cardiovascular disease has been identified as a risk factor for children in developing cardiovascular disease later in life (DHHS, 2012; NICHQ, 2014).</w:t>
      </w:r>
    </w:p>
    <w:p w:rsidR="00A27A90" w:rsidRDefault="00A27A90" w:rsidP="00A27A90">
      <w:pPr>
        <w:pStyle w:val="ListParagraph"/>
        <w:numPr>
          <w:ilvl w:val="0"/>
          <w:numId w:val="2"/>
        </w:numPr>
        <w:spacing w:line="240" w:lineRule="auto"/>
        <w:rPr>
          <w:b/>
          <w:sz w:val="28"/>
          <w:szCs w:val="28"/>
        </w:rPr>
      </w:pPr>
      <w:r>
        <w:rPr>
          <w:sz w:val="24"/>
          <w:szCs w:val="24"/>
        </w:rPr>
        <w:t xml:space="preserve">The DHHS (2012) recommends that we focus on </w:t>
      </w:r>
      <w:r>
        <w:rPr>
          <w:b/>
          <w:sz w:val="24"/>
          <w:szCs w:val="24"/>
        </w:rPr>
        <w:t>preventing</w:t>
      </w:r>
      <w:r>
        <w:rPr>
          <w:sz w:val="24"/>
          <w:szCs w:val="24"/>
        </w:rPr>
        <w:t xml:space="preserve"> obesity, hypertension, and other risk factors from occurring when working with children.</w:t>
      </w:r>
    </w:p>
    <w:p w:rsidR="00A27A90" w:rsidRDefault="00A27A90" w:rsidP="00A27A90">
      <w:pPr>
        <w:spacing w:line="240" w:lineRule="auto"/>
        <w:rPr>
          <w:sz w:val="24"/>
          <w:szCs w:val="24"/>
        </w:rPr>
      </w:pPr>
      <w:r>
        <w:rPr>
          <w:b/>
          <w:sz w:val="28"/>
          <w:szCs w:val="28"/>
        </w:rPr>
        <w:lastRenderedPageBreak/>
        <w:t>3. Though many of our pediatric clients do not smoke, they are exposed to secondhand smoke, and we do not account for that.</w:t>
      </w:r>
    </w:p>
    <w:p w:rsidR="00A27A90" w:rsidRDefault="00A27A90" w:rsidP="00A27A90">
      <w:pPr>
        <w:pStyle w:val="ListParagraph"/>
        <w:numPr>
          <w:ilvl w:val="0"/>
          <w:numId w:val="2"/>
        </w:numPr>
        <w:spacing w:line="240" w:lineRule="auto"/>
        <w:rPr>
          <w:sz w:val="24"/>
          <w:szCs w:val="24"/>
        </w:rPr>
      </w:pPr>
      <w:r>
        <w:rPr>
          <w:sz w:val="24"/>
          <w:szCs w:val="24"/>
        </w:rPr>
        <w:t>Parental smoking is a risk factor for children smoking (Wilson et al., 2010).</w:t>
      </w:r>
    </w:p>
    <w:p w:rsidR="00A27A90" w:rsidRDefault="00A27A90" w:rsidP="00A27A90">
      <w:pPr>
        <w:pStyle w:val="ListParagraph"/>
        <w:numPr>
          <w:ilvl w:val="0"/>
          <w:numId w:val="2"/>
        </w:numPr>
        <w:spacing w:line="240" w:lineRule="auto"/>
        <w:rPr>
          <w:b/>
          <w:sz w:val="28"/>
          <w:szCs w:val="28"/>
        </w:rPr>
      </w:pPr>
      <w:r>
        <w:rPr>
          <w:sz w:val="24"/>
          <w:szCs w:val="24"/>
        </w:rPr>
        <w:t>Secondhand smoke can cause or worsen respiratory problems and has been associated with metabolic syndrome and ear infections (Wilson et al., 2010).</w:t>
      </w:r>
    </w:p>
    <w:p w:rsidR="00A27A90" w:rsidRDefault="00A27A90" w:rsidP="00A27A90">
      <w:pPr>
        <w:spacing w:line="240" w:lineRule="auto"/>
        <w:rPr>
          <w:sz w:val="24"/>
          <w:szCs w:val="24"/>
        </w:rPr>
      </w:pPr>
      <w:r>
        <w:rPr>
          <w:b/>
          <w:sz w:val="28"/>
          <w:szCs w:val="28"/>
        </w:rPr>
        <w:t>4. Our exercise recommendations reflect those for adults, but not children.</w:t>
      </w:r>
    </w:p>
    <w:p w:rsidR="00A27A90" w:rsidRDefault="00A27A90" w:rsidP="00A27A90">
      <w:pPr>
        <w:pStyle w:val="ListParagraph"/>
        <w:numPr>
          <w:ilvl w:val="0"/>
          <w:numId w:val="1"/>
        </w:numPr>
        <w:spacing w:line="240" w:lineRule="auto"/>
        <w:rPr>
          <w:b/>
          <w:sz w:val="28"/>
          <w:szCs w:val="28"/>
        </w:rPr>
      </w:pPr>
      <w:r>
        <w:rPr>
          <w:sz w:val="24"/>
          <w:szCs w:val="24"/>
        </w:rPr>
        <w:t>The CDC (2011) and DHHS (2012) recommend that children exercise for at least one hour every day to reduce risk for cardiovascular disease.</w:t>
      </w:r>
    </w:p>
    <w:p w:rsidR="00A27A90" w:rsidRDefault="00A27A90" w:rsidP="00A27A90">
      <w:pPr>
        <w:spacing w:line="240" w:lineRule="auto"/>
        <w:rPr>
          <w:sz w:val="24"/>
          <w:szCs w:val="24"/>
        </w:rPr>
      </w:pPr>
      <w:r>
        <w:rPr>
          <w:b/>
          <w:sz w:val="28"/>
          <w:szCs w:val="28"/>
        </w:rPr>
        <w:t>5. Our assessment of children for hyperlipidemia depends on normal levels for adults.</w:t>
      </w:r>
    </w:p>
    <w:p w:rsidR="00A27A90" w:rsidRDefault="00A27A90" w:rsidP="00A27A90">
      <w:pPr>
        <w:pStyle w:val="ListParagraph"/>
        <w:numPr>
          <w:ilvl w:val="0"/>
          <w:numId w:val="1"/>
        </w:numPr>
        <w:spacing w:line="240" w:lineRule="auto"/>
      </w:pPr>
      <w:r>
        <w:rPr>
          <w:sz w:val="24"/>
          <w:szCs w:val="24"/>
        </w:rPr>
        <w:t>The DHHS (2012) recommends the following cholesterol levels for children:</w:t>
      </w:r>
    </w:p>
    <w:tbl>
      <w:tblPr>
        <w:tblW w:w="0" w:type="auto"/>
        <w:tblInd w:w="1435" w:type="dxa"/>
        <w:tblLayout w:type="fixed"/>
        <w:tblLook w:val="0000" w:firstRow="0" w:lastRow="0" w:firstColumn="0" w:lastColumn="0" w:noHBand="0" w:noVBand="0"/>
      </w:tblPr>
      <w:tblGrid>
        <w:gridCol w:w="2104"/>
        <w:gridCol w:w="2066"/>
        <w:gridCol w:w="2052"/>
        <w:gridCol w:w="1924"/>
      </w:tblGrid>
      <w:tr w:rsidR="00A27A90" w:rsidTr="006A14C4">
        <w:tc>
          <w:tcPr>
            <w:tcW w:w="2104" w:type="dxa"/>
            <w:tcBorders>
              <w:top w:val="single" w:sz="4" w:space="0" w:color="000000"/>
              <w:left w:val="single" w:sz="4" w:space="0" w:color="000000"/>
              <w:bottom w:val="single" w:sz="4" w:space="0" w:color="000000"/>
            </w:tcBorders>
            <w:shd w:val="clear" w:color="auto" w:fill="auto"/>
          </w:tcPr>
          <w:p w:rsidR="00A27A90" w:rsidRDefault="00A27A90" w:rsidP="006A14C4">
            <w:pPr>
              <w:spacing w:after="0" w:line="240" w:lineRule="auto"/>
            </w:pPr>
            <w:r>
              <w:t>Category</w:t>
            </w:r>
          </w:p>
        </w:tc>
        <w:tc>
          <w:tcPr>
            <w:tcW w:w="2066" w:type="dxa"/>
            <w:tcBorders>
              <w:top w:val="single" w:sz="4" w:space="0" w:color="000000"/>
              <w:left w:val="single" w:sz="4" w:space="0" w:color="000000"/>
              <w:bottom w:val="single" w:sz="4" w:space="0" w:color="000000"/>
            </w:tcBorders>
            <w:shd w:val="clear" w:color="auto" w:fill="auto"/>
          </w:tcPr>
          <w:p w:rsidR="00A27A90" w:rsidRDefault="00A27A90" w:rsidP="006A14C4">
            <w:pPr>
              <w:spacing w:after="0" w:line="240" w:lineRule="auto"/>
            </w:pPr>
            <w:r>
              <w:t>Acceptable</w:t>
            </w:r>
          </w:p>
        </w:tc>
        <w:tc>
          <w:tcPr>
            <w:tcW w:w="2052" w:type="dxa"/>
            <w:tcBorders>
              <w:top w:val="single" w:sz="4" w:space="0" w:color="000000"/>
              <w:left w:val="single" w:sz="4" w:space="0" w:color="000000"/>
              <w:bottom w:val="single" w:sz="4" w:space="0" w:color="000000"/>
            </w:tcBorders>
            <w:shd w:val="clear" w:color="auto" w:fill="auto"/>
          </w:tcPr>
          <w:p w:rsidR="00A27A90" w:rsidRDefault="00A27A90" w:rsidP="006A14C4">
            <w:pPr>
              <w:spacing w:after="0" w:line="240" w:lineRule="auto"/>
            </w:pPr>
            <w:r>
              <w:t>Borderline</w:t>
            </w:r>
          </w:p>
        </w:tc>
        <w:tc>
          <w:tcPr>
            <w:tcW w:w="1924" w:type="dxa"/>
            <w:tcBorders>
              <w:top w:val="single" w:sz="4" w:space="0" w:color="000000"/>
              <w:left w:val="single" w:sz="4" w:space="0" w:color="000000"/>
              <w:bottom w:val="single" w:sz="4" w:space="0" w:color="000000"/>
              <w:right w:val="single" w:sz="4" w:space="0" w:color="000000"/>
            </w:tcBorders>
            <w:shd w:val="clear" w:color="auto" w:fill="auto"/>
          </w:tcPr>
          <w:p w:rsidR="00A27A90" w:rsidRDefault="00A27A90" w:rsidP="006A14C4">
            <w:pPr>
              <w:spacing w:after="0" w:line="240" w:lineRule="auto"/>
            </w:pPr>
            <w:r>
              <w:t>High</w:t>
            </w:r>
          </w:p>
        </w:tc>
      </w:tr>
      <w:tr w:rsidR="00A27A90" w:rsidTr="006A14C4">
        <w:tc>
          <w:tcPr>
            <w:tcW w:w="2104" w:type="dxa"/>
            <w:tcBorders>
              <w:top w:val="single" w:sz="4" w:space="0" w:color="000000"/>
              <w:left w:val="single" w:sz="4" w:space="0" w:color="000000"/>
              <w:bottom w:val="single" w:sz="4" w:space="0" w:color="000000"/>
            </w:tcBorders>
            <w:shd w:val="clear" w:color="auto" w:fill="auto"/>
          </w:tcPr>
          <w:p w:rsidR="00A27A90" w:rsidRDefault="00A27A90" w:rsidP="006A14C4">
            <w:pPr>
              <w:spacing w:after="0" w:line="240" w:lineRule="auto"/>
            </w:pPr>
            <w:r>
              <w:t>Total Cholesterol</w:t>
            </w:r>
          </w:p>
        </w:tc>
        <w:tc>
          <w:tcPr>
            <w:tcW w:w="2066" w:type="dxa"/>
            <w:tcBorders>
              <w:top w:val="single" w:sz="4" w:space="0" w:color="000000"/>
              <w:left w:val="single" w:sz="4" w:space="0" w:color="000000"/>
              <w:bottom w:val="single" w:sz="4" w:space="0" w:color="000000"/>
            </w:tcBorders>
            <w:shd w:val="clear" w:color="auto" w:fill="auto"/>
          </w:tcPr>
          <w:p w:rsidR="00A27A90" w:rsidRDefault="00A27A90" w:rsidP="006A14C4">
            <w:pPr>
              <w:spacing w:after="0" w:line="240" w:lineRule="auto"/>
            </w:pPr>
            <w:r>
              <w:t>&lt;170</w:t>
            </w:r>
          </w:p>
        </w:tc>
        <w:tc>
          <w:tcPr>
            <w:tcW w:w="2052" w:type="dxa"/>
            <w:tcBorders>
              <w:top w:val="single" w:sz="4" w:space="0" w:color="000000"/>
              <w:left w:val="single" w:sz="4" w:space="0" w:color="000000"/>
              <w:bottom w:val="single" w:sz="4" w:space="0" w:color="000000"/>
            </w:tcBorders>
            <w:shd w:val="clear" w:color="auto" w:fill="auto"/>
          </w:tcPr>
          <w:p w:rsidR="00A27A90" w:rsidRDefault="00A27A90" w:rsidP="006A14C4">
            <w:pPr>
              <w:spacing w:after="0" w:line="240" w:lineRule="auto"/>
            </w:pPr>
            <w:r>
              <w:t>170-199</w:t>
            </w:r>
          </w:p>
        </w:tc>
        <w:tc>
          <w:tcPr>
            <w:tcW w:w="1924" w:type="dxa"/>
            <w:tcBorders>
              <w:top w:val="single" w:sz="4" w:space="0" w:color="000000"/>
              <w:left w:val="single" w:sz="4" w:space="0" w:color="000000"/>
              <w:bottom w:val="single" w:sz="4" w:space="0" w:color="000000"/>
              <w:right w:val="single" w:sz="4" w:space="0" w:color="000000"/>
            </w:tcBorders>
            <w:shd w:val="clear" w:color="auto" w:fill="auto"/>
          </w:tcPr>
          <w:p w:rsidR="00A27A90" w:rsidRDefault="00A27A90" w:rsidP="006A14C4">
            <w:pPr>
              <w:spacing w:after="0" w:line="240" w:lineRule="auto"/>
            </w:pPr>
            <w:r>
              <w:t>&gt;200</w:t>
            </w:r>
          </w:p>
        </w:tc>
      </w:tr>
      <w:tr w:rsidR="00A27A90" w:rsidTr="006A14C4">
        <w:tc>
          <w:tcPr>
            <w:tcW w:w="2104" w:type="dxa"/>
            <w:tcBorders>
              <w:top w:val="single" w:sz="4" w:space="0" w:color="000000"/>
              <w:left w:val="single" w:sz="4" w:space="0" w:color="000000"/>
              <w:bottom w:val="single" w:sz="4" w:space="0" w:color="000000"/>
            </w:tcBorders>
            <w:shd w:val="clear" w:color="auto" w:fill="auto"/>
          </w:tcPr>
          <w:p w:rsidR="00A27A90" w:rsidRDefault="00A27A90" w:rsidP="006A14C4">
            <w:pPr>
              <w:spacing w:after="0" w:line="240" w:lineRule="auto"/>
            </w:pPr>
            <w:r>
              <w:t>LDL</w:t>
            </w:r>
          </w:p>
        </w:tc>
        <w:tc>
          <w:tcPr>
            <w:tcW w:w="2066" w:type="dxa"/>
            <w:tcBorders>
              <w:top w:val="single" w:sz="4" w:space="0" w:color="000000"/>
              <w:left w:val="single" w:sz="4" w:space="0" w:color="000000"/>
              <w:bottom w:val="single" w:sz="4" w:space="0" w:color="000000"/>
            </w:tcBorders>
            <w:shd w:val="clear" w:color="auto" w:fill="auto"/>
          </w:tcPr>
          <w:p w:rsidR="00A27A90" w:rsidRDefault="00A27A90" w:rsidP="006A14C4">
            <w:pPr>
              <w:spacing w:after="0" w:line="240" w:lineRule="auto"/>
            </w:pPr>
            <w:r>
              <w:t>&lt;110</w:t>
            </w:r>
          </w:p>
        </w:tc>
        <w:tc>
          <w:tcPr>
            <w:tcW w:w="2052" w:type="dxa"/>
            <w:tcBorders>
              <w:top w:val="single" w:sz="4" w:space="0" w:color="000000"/>
              <w:left w:val="single" w:sz="4" w:space="0" w:color="000000"/>
              <w:bottom w:val="single" w:sz="4" w:space="0" w:color="000000"/>
            </w:tcBorders>
            <w:shd w:val="clear" w:color="auto" w:fill="auto"/>
          </w:tcPr>
          <w:p w:rsidR="00A27A90" w:rsidRDefault="00A27A90" w:rsidP="006A14C4">
            <w:pPr>
              <w:spacing w:after="0" w:line="240" w:lineRule="auto"/>
            </w:pPr>
            <w:r>
              <w:t>110-129</w:t>
            </w:r>
          </w:p>
        </w:tc>
        <w:tc>
          <w:tcPr>
            <w:tcW w:w="1924" w:type="dxa"/>
            <w:tcBorders>
              <w:top w:val="single" w:sz="4" w:space="0" w:color="000000"/>
              <w:left w:val="single" w:sz="4" w:space="0" w:color="000000"/>
              <w:bottom w:val="single" w:sz="4" w:space="0" w:color="000000"/>
              <w:right w:val="single" w:sz="4" w:space="0" w:color="000000"/>
            </w:tcBorders>
            <w:shd w:val="clear" w:color="auto" w:fill="auto"/>
          </w:tcPr>
          <w:p w:rsidR="00A27A90" w:rsidRDefault="00A27A90" w:rsidP="006A14C4">
            <w:pPr>
              <w:spacing w:after="0" w:line="240" w:lineRule="auto"/>
            </w:pPr>
            <w:r>
              <w:t>&gt;130</w:t>
            </w:r>
          </w:p>
        </w:tc>
      </w:tr>
      <w:tr w:rsidR="00A27A90" w:rsidTr="006A14C4">
        <w:tc>
          <w:tcPr>
            <w:tcW w:w="2104" w:type="dxa"/>
            <w:tcBorders>
              <w:top w:val="single" w:sz="4" w:space="0" w:color="000000"/>
              <w:left w:val="single" w:sz="4" w:space="0" w:color="000000"/>
              <w:bottom w:val="single" w:sz="4" w:space="0" w:color="000000"/>
            </w:tcBorders>
            <w:shd w:val="clear" w:color="auto" w:fill="auto"/>
          </w:tcPr>
          <w:p w:rsidR="00A27A90" w:rsidRDefault="00A27A90" w:rsidP="006A14C4">
            <w:pPr>
              <w:spacing w:after="0" w:line="240" w:lineRule="auto"/>
            </w:pPr>
            <w:r>
              <w:t>HDL</w:t>
            </w:r>
          </w:p>
        </w:tc>
        <w:tc>
          <w:tcPr>
            <w:tcW w:w="2066" w:type="dxa"/>
            <w:tcBorders>
              <w:top w:val="single" w:sz="4" w:space="0" w:color="000000"/>
              <w:left w:val="single" w:sz="4" w:space="0" w:color="000000"/>
              <w:bottom w:val="single" w:sz="4" w:space="0" w:color="000000"/>
            </w:tcBorders>
            <w:shd w:val="clear" w:color="auto" w:fill="auto"/>
          </w:tcPr>
          <w:p w:rsidR="00A27A90" w:rsidRDefault="00A27A90" w:rsidP="006A14C4">
            <w:pPr>
              <w:spacing w:after="0" w:line="240" w:lineRule="auto"/>
            </w:pPr>
            <w:r>
              <w:t>&gt;45</w:t>
            </w:r>
          </w:p>
        </w:tc>
        <w:tc>
          <w:tcPr>
            <w:tcW w:w="2052" w:type="dxa"/>
            <w:tcBorders>
              <w:top w:val="single" w:sz="4" w:space="0" w:color="000000"/>
              <w:left w:val="single" w:sz="4" w:space="0" w:color="000000"/>
              <w:bottom w:val="single" w:sz="4" w:space="0" w:color="000000"/>
            </w:tcBorders>
            <w:shd w:val="clear" w:color="auto" w:fill="auto"/>
          </w:tcPr>
          <w:p w:rsidR="00A27A90" w:rsidRDefault="00A27A90" w:rsidP="006A14C4">
            <w:pPr>
              <w:spacing w:after="0" w:line="240" w:lineRule="auto"/>
            </w:pPr>
            <w:r>
              <w:t>40-45</w:t>
            </w:r>
          </w:p>
        </w:tc>
        <w:tc>
          <w:tcPr>
            <w:tcW w:w="1924" w:type="dxa"/>
            <w:tcBorders>
              <w:top w:val="single" w:sz="4" w:space="0" w:color="000000"/>
              <w:left w:val="single" w:sz="4" w:space="0" w:color="000000"/>
              <w:bottom w:val="single" w:sz="4" w:space="0" w:color="000000"/>
              <w:right w:val="single" w:sz="4" w:space="0" w:color="000000"/>
            </w:tcBorders>
            <w:shd w:val="clear" w:color="auto" w:fill="auto"/>
          </w:tcPr>
          <w:p w:rsidR="00A27A90" w:rsidRDefault="00A27A90" w:rsidP="006A14C4">
            <w:pPr>
              <w:spacing w:after="0" w:line="240" w:lineRule="auto"/>
            </w:pPr>
            <w:r>
              <w:t>&lt;40</w:t>
            </w:r>
          </w:p>
        </w:tc>
      </w:tr>
      <w:tr w:rsidR="00A27A90" w:rsidTr="006A14C4">
        <w:tc>
          <w:tcPr>
            <w:tcW w:w="2104" w:type="dxa"/>
            <w:tcBorders>
              <w:top w:val="single" w:sz="4" w:space="0" w:color="000000"/>
              <w:left w:val="single" w:sz="4" w:space="0" w:color="000000"/>
              <w:bottom w:val="single" w:sz="4" w:space="0" w:color="000000"/>
            </w:tcBorders>
            <w:shd w:val="clear" w:color="auto" w:fill="auto"/>
          </w:tcPr>
          <w:p w:rsidR="00A27A90" w:rsidRDefault="00A27A90" w:rsidP="006A14C4">
            <w:pPr>
              <w:spacing w:after="0" w:line="240" w:lineRule="auto"/>
            </w:pPr>
            <w:r>
              <w:t>Triglycerides</w:t>
            </w:r>
          </w:p>
        </w:tc>
        <w:tc>
          <w:tcPr>
            <w:tcW w:w="2066" w:type="dxa"/>
            <w:tcBorders>
              <w:top w:val="single" w:sz="4" w:space="0" w:color="000000"/>
              <w:left w:val="single" w:sz="4" w:space="0" w:color="000000"/>
              <w:bottom w:val="single" w:sz="4" w:space="0" w:color="000000"/>
            </w:tcBorders>
            <w:shd w:val="clear" w:color="auto" w:fill="auto"/>
          </w:tcPr>
          <w:p w:rsidR="00A27A90" w:rsidRDefault="00A27A90" w:rsidP="006A14C4">
            <w:pPr>
              <w:spacing w:after="0" w:line="240" w:lineRule="auto"/>
            </w:pPr>
            <w:r>
              <w:t>&lt;90</w:t>
            </w:r>
          </w:p>
        </w:tc>
        <w:tc>
          <w:tcPr>
            <w:tcW w:w="2052" w:type="dxa"/>
            <w:tcBorders>
              <w:top w:val="single" w:sz="4" w:space="0" w:color="000000"/>
              <w:left w:val="single" w:sz="4" w:space="0" w:color="000000"/>
              <w:bottom w:val="single" w:sz="4" w:space="0" w:color="000000"/>
            </w:tcBorders>
            <w:shd w:val="clear" w:color="auto" w:fill="auto"/>
          </w:tcPr>
          <w:p w:rsidR="00A27A90" w:rsidRDefault="00A27A90" w:rsidP="006A14C4">
            <w:pPr>
              <w:spacing w:after="0" w:line="240" w:lineRule="auto"/>
            </w:pPr>
            <w:r>
              <w:t>90-129</w:t>
            </w:r>
          </w:p>
        </w:tc>
        <w:tc>
          <w:tcPr>
            <w:tcW w:w="1924" w:type="dxa"/>
            <w:tcBorders>
              <w:top w:val="single" w:sz="4" w:space="0" w:color="000000"/>
              <w:left w:val="single" w:sz="4" w:space="0" w:color="000000"/>
              <w:bottom w:val="single" w:sz="4" w:space="0" w:color="000000"/>
              <w:right w:val="single" w:sz="4" w:space="0" w:color="000000"/>
            </w:tcBorders>
            <w:shd w:val="clear" w:color="auto" w:fill="auto"/>
          </w:tcPr>
          <w:p w:rsidR="00A27A90" w:rsidRDefault="00A27A90" w:rsidP="006A14C4">
            <w:pPr>
              <w:spacing w:after="0" w:line="240" w:lineRule="auto"/>
            </w:pPr>
            <w:r>
              <w:t>&gt;130</w:t>
            </w:r>
          </w:p>
        </w:tc>
      </w:tr>
    </w:tbl>
    <w:p w:rsidR="00A27A90" w:rsidRDefault="00A27A90" w:rsidP="00A27A90">
      <w:pPr>
        <w:spacing w:line="240" w:lineRule="auto"/>
        <w:contextualSpacing/>
        <w:rPr>
          <w:rFonts w:ascii="Cambria" w:hAnsi="Cambria" w:cs="Cambria"/>
          <w:b/>
          <w:sz w:val="32"/>
          <w:szCs w:val="32"/>
        </w:rPr>
      </w:pPr>
      <w:r>
        <w:rPr>
          <w:rFonts w:cs="Calibri"/>
          <w:b/>
          <w:color w:val="632423"/>
          <w:sz w:val="28"/>
          <w:szCs w:val="28"/>
        </w:rPr>
        <w:t>___________________________________________________________________</w:t>
      </w:r>
    </w:p>
    <w:p w:rsidR="00A27A90" w:rsidRDefault="00A27A90" w:rsidP="00A27A90">
      <w:pPr>
        <w:spacing w:line="240" w:lineRule="auto"/>
        <w:contextualSpacing/>
        <w:rPr>
          <w:rFonts w:cs="Calibri"/>
          <w:sz w:val="24"/>
          <w:szCs w:val="24"/>
        </w:rPr>
      </w:pPr>
      <w:r>
        <w:rPr>
          <w:rFonts w:ascii="Cambria" w:hAnsi="Cambria" w:cs="Cambria"/>
          <w:b/>
          <w:sz w:val="32"/>
          <w:szCs w:val="32"/>
        </w:rPr>
        <w:t>Changes Proposed</w:t>
      </w:r>
    </w:p>
    <w:p w:rsidR="00A27A90" w:rsidRDefault="00A27A90" w:rsidP="00A27A90">
      <w:pPr>
        <w:spacing w:line="240" w:lineRule="auto"/>
        <w:contextualSpacing/>
        <w:rPr>
          <w:rFonts w:ascii="Cambria" w:hAnsi="Cambria" w:cs="Cambria"/>
          <w:sz w:val="32"/>
          <w:szCs w:val="32"/>
        </w:rPr>
      </w:pPr>
      <w:r>
        <w:rPr>
          <w:rFonts w:cs="Calibri"/>
          <w:sz w:val="24"/>
          <w:szCs w:val="24"/>
        </w:rPr>
        <w:t>To improve assessment of acuity in the pediatric population, this proposal recommends that pediatric clients be assessed for risk separately from adults, using evidence-based measures developed from the Centers for Disease Control (CDC), the United States Department of Health and Human Services (DHHS), and the National Institute for Children’s Health Quality (NICHQQ).</w:t>
      </w:r>
    </w:p>
    <w:p w:rsidR="00A27A90" w:rsidRDefault="00A27A90" w:rsidP="00A27A90">
      <w:pPr>
        <w:spacing w:line="240" w:lineRule="auto"/>
        <w:contextualSpacing/>
        <w:rPr>
          <w:rFonts w:ascii="Cambria" w:hAnsi="Cambria" w:cs="Cambria"/>
          <w:sz w:val="32"/>
          <w:szCs w:val="32"/>
        </w:rPr>
      </w:pPr>
    </w:p>
    <w:p w:rsidR="00A27A90" w:rsidRDefault="00A27A90" w:rsidP="00A27A90">
      <w:pPr>
        <w:spacing w:line="240" w:lineRule="auto"/>
        <w:contextualSpacing/>
        <w:rPr>
          <w:rFonts w:cs="Calibri"/>
          <w:sz w:val="24"/>
          <w:szCs w:val="24"/>
        </w:rPr>
      </w:pPr>
      <w:r>
        <w:rPr>
          <w:rFonts w:ascii="Cambria" w:hAnsi="Cambria" w:cs="Cambria"/>
          <w:b/>
          <w:sz w:val="32"/>
          <w:szCs w:val="32"/>
        </w:rPr>
        <w:t>References</w:t>
      </w:r>
    </w:p>
    <w:p w:rsidR="00A27A90" w:rsidRDefault="00A27A90" w:rsidP="00A27A90">
      <w:pPr>
        <w:spacing w:line="240" w:lineRule="auto"/>
        <w:contextualSpacing/>
        <w:rPr>
          <w:rFonts w:cs="Calibri"/>
          <w:sz w:val="24"/>
          <w:szCs w:val="24"/>
        </w:rPr>
      </w:pPr>
    </w:p>
    <w:p w:rsidR="00A27A90" w:rsidRDefault="00A27A90" w:rsidP="00A27A90">
      <w:pPr>
        <w:spacing w:line="240" w:lineRule="auto"/>
        <w:contextualSpacing/>
        <w:rPr>
          <w:rFonts w:cs="Calibri"/>
          <w:i/>
          <w:sz w:val="24"/>
          <w:szCs w:val="24"/>
        </w:rPr>
      </w:pPr>
      <w:bookmarkStart w:id="0" w:name="_GoBack"/>
      <w:bookmarkEnd w:id="0"/>
      <w:r>
        <w:rPr>
          <w:rFonts w:cs="Calibri"/>
          <w:sz w:val="24"/>
          <w:szCs w:val="24"/>
        </w:rPr>
        <w:t xml:space="preserve">Centers for Disease Control and Prevention. (2011, September 13). </w:t>
      </w:r>
      <w:r>
        <w:rPr>
          <w:rFonts w:cs="Calibri"/>
          <w:i/>
          <w:sz w:val="24"/>
          <w:szCs w:val="24"/>
        </w:rPr>
        <w:t xml:space="preserve">About BMI for </w:t>
      </w:r>
    </w:p>
    <w:p w:rsidR="00A27A90" w:rsidRDefault="00A27A90" w:rsidP="00A27A90">
      <w:pPr>
        <w:spacing w:line="240" w:lineRule="auto"/>
        <w:ind w:left="720"/>
        <w:contextualSpacing/>
        <w:rPr>
          <w:rFonts w:cs="Calibri"/>
          <w:sz w:val="24"/>
          <w:szCs w:val="24"/>
        </w:rPr>
      </w:pPr>
      <w:r>
        <w:rPr>
          <w:rFonts w:cs="Calibri"/>
          <w:i/>
          <w:sz w:val="24"/>
          <w:szCs w:val="24"/>
        </w:rPr>
        <w:t>Children and Teens</w:t>
      </w:r>
      <w:r>
        <w:rPr>
          <w:rFonts w:cs="Calibri"/>
          <w:sz w:val="24"/>
          <w:szCs w:val="24"/>
        </w:rPr>
        <w:t>. Retrieved from http://www.cdc.gov/healthyweight/assessing/bmi/childrens_bmi/about_childrens_bmi.html</w:t>
      </w:r>
    </w:p>
    <w:p w:rsidR="00A27A90" w:rsidRDefault="00A27A90" w:rsidP="00A27A90">
      <w:pPr>
        <w:spacing w:line="240" w:lineRule="auto"/>
        <w:contextualSpacing/>
        <w:rPr>
          <w:rFonts w:cs="Calibri"/>
          <w:sz w:val="24"/>
          <w:szCs w:val="24"/>
        </w:rPr>
      </w:pPr>
      <w:r>
        <w:rPr>
          <w:rFonts w:cs="Calibri"/>
          <w:sz w:val="24"/>
          <w:szCs w:val="24"/>
        </w:rPr>
        <w:t xml:space="preserve">Cheng, J.K., Wen, X., </w:t>
      </w:r>
      <w:proofErr w:type="spellStart"/>
      <w:r>
        <w:rPr>
          <w:rFonts w:cs="Calibri"/>
          <w:sz w:val="24"/>
          <w:szCs w:val="24"/>
        </w:rPr>
        <w:t>Coletti</w:t>
      </w:r>
      <w:proofErr w:type="spellEnd"/>
      <w:r>
        <w:rPr>
          <w:rFonts w:cs="Calibri"/>
          <w:sz w:val="24"/>
          <w:szCs w:val="24"/>
        </w:rPr>
        <w:t xml:space="preserve">, K.D., Cox, J.E., &amp; Taveras, E.M. (2014). 2-year BMI </w:t>
      </w:r>
    </w:p>
    <w:p w:rsidR="00A27A90" w:rsidRDefault="00A27A90" w:rsidP="00A27A90">
      <w:pPr>
        <w:spacing w:line="240" w:lineRule="auto"/>
        <w:ind w:left="720"/>
        <w:contextualSpacing/>
        <w:rPr>
          <w:rFonts w:cs="Calibri"/>
          <w:sz w:val="24"/>
          <w:szCs w:val="24"/>
        </w:rPr>
      </w:pPr>
      <w:proofErr w:type="gramStart"/>
      <w:r>
        <w:rPr>
          <w:rFonts w:cs="Calibri"/>
          <w:sz w:val="24"/>
          <w:szCs w:val="24"/>
        </w:rPr>
        <w:t>changes</w:t>
      </w:r>
      <w:proofErr w:type="gramEnd"/>
      <w:r>
        <w:rPr>
          <w:rFonts w:cs="Calibri"/>
          <w:sz w:val="24"/>
          <w:szCs w:val="24"/>
        </w:rPr>
        <w:t xml:space="preserve"> of children referred for multidisciplinary weight management. </w:t>
      </w:r>
      <w:r>
        <w:rPr>
          <w:rFonts w:cs="Calibri"/>
          <w:i/>
          <w:sz w:val="24"/>
          <w:szCs w:val="24"/>
        </w:rPr>
        <w:t>International Journal of Pediatrics, 2014</w:t>
      </w:r>
      <w:r>
        <w:rPr>
          <w:rFonts w:cs="Calibri"/>
          <w:sz w:val="24"/>
          <w:szCs w:val="24"/>
        </w:rPr>
        <w:t xml:space="preserve">. </w:t>
      </w:r>
      <w:proofErr w:type="spellStart"/>
      <w:proofErr w:type="gramStart"/>
      <w:r>
        <w:rPr>
          <w:rFonts w:cs="Calibri"/>
          <w:sz w:val="24"/>
          <w:szCs w:val="24"/>
        </w:rPr>
        <w:t>doi</w:t>
      </w:r>
      <w:proofErr w:type="spellEnd"/>
      <w:proofErr w:type="gramEnd"/>
      <w:r>
        <w:rPr>
          <w:rFonts w:cs="Calibri"/>
          <w:sz w:val="24"/>
          <w:szCs w:val="24"/>
        </w:rPr>
        <w:t xml:space="preserve">: 10.1155/2014/152586 </w:t>
      </w:r>
    </w:p>
    <w:p w:rsidR="00A27A90" w:rsidRDefault="00A27A90" w:rsidP="00A27A90">
      <w:pPr>
        <w:spacing w:line="240" w:lineRule="auto"/>
        <w:contextualSpacing/>
        <w:rPr>
          <w:rFonts w:cs="Calibri"/>
          <w:sz w:val="24"/>
          <w:szCs w:val="24"/>
        </w:rPr>
      </w:pPr>
      <w:r>
        <w:rPr>
          <w:rFonts w:cs="Calibri"/>
          <w:sz w:val="24"/>
          <w:szCs w:val="24"/>
        </w:rPr>
        <w:t xml:space="preserve">Krebs, N.F., Himes, J.H., Jacobson, D., </w:t>
      </w:r>
      <w:proofErr w:type="spellStart"/>
      <w:r>
        <w:rPr>
          <w:rFonts w:cs="Calibri"/>
          <w:sz w:val="24"/>
          <w:szCs w:val="24"/>
        </w:rPr>
        <w:t>Nicklas</w:t>
      </w:r>
      <w:proofErr w:type="spellEnd"/>
      <w:r>
        <w:rPr>
          <w:rFonts w:cs="Calibri"/>
          <w:sz w:val="24"/>
          <w:szCs w:val="24"/>
        </w:rPr>
        <w:t xml:space="preserve">, T.A., </w:t>
      </w:r>
      <w:proofErr w:type="spellStart"/>
      <w:r>
        <w:rPr>
          <w:rFonts w:cs="Calibri"/>
          <w:sz w:val="24"/>
          <w:szCs w:val="24"/>
        </w:rPr>
        <w:t>Guilday</w:t>
      </w:r>
      <w:proofErr w:type="spellEnd"/>
      <w:r>
        <w:rPr>
          <w:rFonts w:cs="Calibri"/>
          <w:sz w:val="24"/>
          <w:szCs w:val="24"/>
        </w:rPr>
        <w:t xml:space="preserve">, P., &amp; </w:t>
      </w:r>
      <w:proofErr w:type="spellStart"/>
      <w:r>
        <w:rPr>
          <w:rFonts w:cs="Calibri"/>
          <w:sz w:val="24"/>
          <w:szCs w:val="24"/>
        </w:rPr>
        <w:t>Styne</w:t>
      </w:r>
      <w:proofErr w:type="spellEnd"/>
      <w:r>
        <w:rPr>
          <w:rFonts w:cs="Calibri"/>
          <w:sz w:val="24"/>
          <w:szCs w:val="24"/>
        </w:rPr>
        <w:t xml:space="preserve">, D. (2007). </w:t>
      </w:r>
    </w:p>
    <w:p w:rsidR="00A27A90" w:rsidRDefault="00A27A90" w:rsidP="00A27A90">
      <w:pPr>
        <w:spacing w:line="240" w:lineRule="auto"/>
        <w:ind w:left="720"/>
        <w:contextualSpacing/>
        <w:rPr>
          <w:rFonts w:cs="Calibri"/>
          <w:sz w:val="24"/>
          <w:szCs w:val="24"/>
        </w:rPr>
      </w:pPr>
      <w:r>
        <w:rPr>
          <w:rFonts w:cs="Calibri"/>
          <w:sz w:val="24"/>
          <w:szCs w:val="24"/>
        </w:rPr>
        <w:t xml:space="preserve">Assessment of child and adolescent overweight and obesity. </w:t>
      </w:r>
      <w:r>
        <w:rPr>
          <w:rFonts w:cs="Calibri"/>
          <w:i/>
          <w:sz w:val="24"/>
          <w:szCs w:val="24"/>
        </w:rPr>
        <w:t>Pediatrics, 120</w:t>
      </w:r>
      <w:r>
        <w:rPr>
          <w:rFonts w:cs="Calibri"/>
          <w:sz w:val="24"/>
          <w:szCs w:val="24"/>
        </w:rPr>
        <w:t xml:space="preserve">, S193-S228. </w:t>
      </w:r>
      <w:proofErr w:type="spellStart"/>
      <w:proofErr w:type="gramStart"/>
      <w:r>
        <w:rPr>
          <w:rFonts w:cs="Calibri"/>
          <w:sz w:val="24"/>
          <w:szCs w:val="24"/>
        </w:rPr>
        <w:t>doi</w:t>
      </w:r>
      <w:proofErr w:type="spellEnd"/>
      <w:proofErr w:type="gramEnd"/>
      <w:r>
        <w:rPr>
          <w:rFonts w:cs="Calibri"/>
          <w:sz w:val="24"/>
          <w:szCs w:val="24"/>
        </w:rPr>
        <w:t>: 10.1542/peds.2007-2329D</w:t>
      </w:r>
    </w:p>
    <w:p w:rsidR="00A27A90" w:rsidRDefault="00A27A90" w:rsidP="00A27A90">
      <w:pPr>
        <w:spacing w:line="240" w:lineRule="auto"/>
        <w:contextualSpacing/>
        <w:rPr>
          <w:rFonts w:cs="Calibri"/>
          <w:sz w:val="24"/>
          <w:szCs w:val="24"/>
        </w:rPr>
      </w:pPr>
      <w:r>
        <w:rPr>
          <w:rFonts w:cs="Calibri"/>
          <w:sz w:val="24"/>
          <w:szCs w:val="24"/>
        </w:rPr>
        <w:t xml:space="preserve">Mei, Z., </w:t>
      </w:r>
      <w:proofErr w:type="spellStart"/>
      <w:r>
        <w:rPr>
          <w:rFonts w:cs="Calibri"/>
          <w:sz w:val="24"/>
          <w:szCs w:val="24"/>
        </w:rPr>
        <w:t>Grummer</w:t>
      </w:r>
      <w:proofErr w:type="spellEnd"/>
      <w:r>
        <w:rPr>
          <w:rFonts w:cs="Calibri"/>
          <w:sz w:val="24"/>
          <w:szCs w:val="24"/>
        </w:rPr>
        <w:t xml:space="preserve">-Strawn, L.M., </w:t>
      </w:r>
      <w:proofErr w:type="spellStart"/>
      <w:r>
        <w:rPr>
          <w:rFonts w:cs="Calibri"/>
          <w:sz w:val="24"/>
          <w:szCs w:val="24"/>
        </w:rPr>
        <w:t>Pietrobelli</w:t>
      </w:r>
      <w:proofErr w:type="spellEnd"/>
      <w:r>
        <w:rPr>
          <w:rFonts w:cs="Calibri"/>
          <w:sz w:val="24"/>
          <w:szCs w:val="24"/>
        </w:rPr>
        <w:t xml:space="preserve">, A., Goulding, A., Goran, M.J., &amp; Dietz, </w:t>
      </w:r>
    </w:p>
    <w:p w:rsidR="00A27A90" w:rsidRDefault="00A27A90" w:rsidP="00A27A90">
      <w:pPr>
        <w:spacing w:line="240" w:lineRule="auto"/>
        <w:ind w:left="720"/>
        <w:contextualSpacing/>
        <w:rPr>
          <w:rFonts w:cs="Calibri"/>
          <w:sz w:val="24"/>
          <w:szCs w:val="24"/>
        </w:rPr>
      </w:pPr>
      <w:r>
        <w:rPr>
          <w:rFonts w:cs="Calibri"/>
          <w:sz w:val="24"/>
          <w:szCs w:val="24"/>
        </w:rPr>
        <w:lastRenderedPageBreak/>
        <w:t xml:space="preserve">W.H. (2002). Validity of body mass index compared with other body-composition screening indexes for the assessment of body fatness in children and adolescents. </w:t>
      </w:r>
      <w:r>
        <w:rPr>
          <w:rFonts w:cs="Calibri"/>
          <w:i/>
          <w:sz w:val="24"/>
          <w:szCs w:val="24"/>
        </w:rPr>
        <w:t>American Journal of Clinical Nutrition, 75</w:t>
      </w:r>
      <w:r>
        <w:rPr>
          <w:rFonts w:cs="Calibri"/>
          <w:sz w:val="24"/>
          <w:szCs w:val="24"/>
        </w:rPr>
        <w:t>, 987-985.</w:t>
      </w:r>
    </w:p>
    <w:p w:rsidR="00A27A90" w:rsidRDefault="00A27A90" w:rsidP="00A27A90">
      <w:pPr>
        <w:spacing w:line="240" w:lineRule="auto"/>
        <w:contextualSpacing/>
        <w:rPr>
          <w:rFonts w:cs="Calibri"/>
          <w:i/>
          <w:sz w:val="24"/>
          <w:szCs w:val="24"/>
        </w:rPr>
      </w:pPr>
      <w:r>
        <w:rPr>
          <w:rFonts w:cs="Calibri"/>
          <w:sz w:val="24"/>
          <w:szCs w:val="24"/>
        </w:rPr>
        <w:t xml:space="preserve">National </w:t>
      </w:r>
      <w:proofErr w:type="spellStart"/>
      <w:r>
        <w:rPr>
          <w:rFonts w:cs="Calibri"/>
          <w:sz w:val="24"/>
          <w:szCs w:val="24"/>
        </w:rPr>
        <w:t>Intiative</w:t>
      </w:r>
      <w:proofErr w:type="spellEnd"/>
      <w:r>
        <w:rPr>
          <w:rFonts w:cs="Calibri"/>
          <w:sz w:val="24"/>
          <w:szCs w:val="24"/>
        </w:rPr>
        <w:t xml:space="preserve"> for Children’s Healthcare Quality. (2007). </w:t>
      </w:r>
      <w:r>
        <w:rPr>
          <w:rFonts w:cs="Calibri"/>
          <w:i/>
          <w:sz w:val="24"/>
          <w:szCs w:val="24"/>
        </w:rPr>
        <w:t xml:space="preserve">Expert Committee </w:t>
      </w:r>
    </w:p>
    <w:p w:rsidR="00A27A90" w:rsidRDefault="00A27A90" w:rsidP="00A27A90">
      <w:pPr>
        <w:spacing w:line="240" w:lineRule="auto"/>
        <w:ind w:left="720"/>
        <w:contextualSpacing/>
        <w:rPr>
          <w:rFonts w:cs="Calibri"/>
          <w:sz w:val="24"/>
          <w:szCs w:val="24"/>
        </w:rPr>
      </w:pPr>
      <w:r>
        <w:rPr>
          <w:rFonts w:cs="Calibri"/>
          <w:i/>
          <w:sz w:val="24"/>
          <w:szCs w:val="24"/>
        </w:rPr>
        <w:t>Recommendations on the Assessment, Prevention, and Treatment of Child and Adolescent Overweight and Obesity</w:t>
      </w:r>
      <w:r>
        <w:rPr>
          <w:rFonts w:cs="Calibri"/>
          <w:sz w:val="24"/>
          <w:szCs w:val="24"/>
        </w:rPr>
        <w:t>. Retrieved from http://www.nichq.org/documents/coan-papers-and-publications/COANImplementationGuide62607FINAL.pdf</w:t>
      </w:r>
    </w:p>
    <w:p w:rsidR="00A27A90" w:rsidRDefault="00A27A90" w:rsidP="00A27A90">
      <w:pPr>
        <w:spacing w:line="240" w:lineRule="auto"/>
        <w:contextualSpacing/>
        <w:rPr>
          <w:rFonts w:cs="Calibri"/>
          <w:sz w:val="24"/>
          <w:szCs w:val="24"/>
        </w:rPr>
      </w:pPr>
      <w:proofErr w:type="spellStart"/>
      <w:r>
        <w:rPr>
          <w:rFonts w:cs="Calibri"/>
          <w:sz w:val="24"/>
          <w:szCs w:val="24"/>
        </w:rPr>
        <w:t>Nevin</w:t>
      </w:r>
      <w:proofErr w:type="spellEnd"/>
      <w:r>
        <w:rPr>
          <w:rFonts w:cs="Calibri"/>
          <w:sz w:val="24"/>
          <w:szCs w:val="24"/>
        </w:rPr>
        <w:t xml:space="preserve">, M.A. (2013, October). Pediatric obesity, metabolic syndrome, and </w:t>
      </w:r>
    </w:p>
    <w:p w:rsidR="00A27A90" w:rsidRDefault="00A27A90" w:rsidP="00A27A90">
      <w:pPr>
        <w:spacing w:line="240" w:lineRule="auto"/>
        <w:ind w:firstLine="720"/>
        <w:contextualSpacing/>
        <w:rPr>
          <w:rFonts w:cs="Calibri"/>
          <w:sz w:val="24"/>
          <w:szCs w:val="24"/>
        </w:rPr>
      </w:pPr>
      <w:proofErr w:type="gramStart"/>
      <w:r>
        <w:rPr>
          <w:rFonts w:cs="Calibri"/>
          <w:sz w:val="24"/>
          <w:szCs w:val="24"/>
        </w:rPr>
        <w:t>obstructive</w:t>
      </w:r>
      <w:proofErr w:type="gramEnd"/>
      <w:r>
        <w:rPr>
          <w:rFonts w:cs="Calibri"/>
          <w:sz w:val="24"/>
          <w:szCs w:val="24"/>
        </w:rPr>
        <w:t xml:space="preserve"> sleep apnea syndrome. </w:t>
      </w:r>
      <w:r>
        <w:rPr>
          <w:rFonts w:cs="Calibri"/>
          <w:i/>
          <w:sz w:val="24"/>
          <w:szCs w:val="24"/>
        </w:rPr>
        <w:t>Pediatric Annals, 42</w:t>
      </w:r>
      <w:r>
        <w:rPr>
          <w:rFonts w:cs="Calibri"/>
          <w:sz w:val="24"/>
          <w:szCs w:val="24"/>
        </w:rPr>
        <w:t xml:space="preserve">(10), 205-210. </w:t>
      </w:r>
    </w:p>
    <w:p w:rsidR="00A27A90" w:rsidRDefault="00A27A90" w:rsidP="00A27A90">
      <w:pPr>
        <w:spacing w:line="240" w:lineRule="auto"/>
        <w:contextualSpacing/>
        <w:rPr>
          <w:rFonts w:cs="Calibri"/>
          <w:sz w:val="24"/>
          <w:szCs w:val="24"/>
        </w:rPr>
      </w:pPr>
      <w:r>
        <w:rPr>
          <w:rFonts w:cs="Calibri"/>
          <w:sz w:val="24"/>
          <w:szCs w:val="24"/>
        </w:rPr>
        <w:t xml:space="preserve">Pirkle, J.L., </w:t>
      </w:r>
      <w:proofErr w:type="spellStart"/>
      <w:r>
        <w:rPr>
          <w:rFonts w:cs="Calibri"/>
          <w:sz w:val="24"/>
          <w:szCs w:val="24"/>
        </w:rPr>
        <w:t>Bernert</w:t>
      </w:r>
      <w:proofErr w:type="spellEnd"/>
      <w:r>
        <w:rPr>
          <w:rFonts w:cs="Calibri"/>
          <w:sz w:val="24"/>
          <w:szCs w:val="24"/>
        </w:rPr>
        <w:t xml:space="preserve">, J.T., Caudill, S.P., </w:t>
      </w:r>
      <w:proofErr w:type="spellStart"/>
      <w:r>
        <w:rPr>
          <w:rFonts w:cs="Calibri"/>
          <w:sz w:val="24"/>
          <w:szCs w:val="24"/>
        </w:rPr>
        <w:t>Sosnoff</w:t>
      </w:r>
      <w:proofErr w:type="spellEnd"/>
      <w:r>
        <w:rPr>
          <w:rFonts w:cs="Calibri"/>
          <w:sz w:val="24"/>
          <w:szCs w:val="24"/>
        </w:rPr>
        <w:t xml:space="preserve">, C.S., &amp; </w:t>
      </w:r>
      <w:proofErr w:type="spellStart"/>
      <w:r>
        <w:rPr>
          <w:rFonts w:cs="Calibri"/>
          <w:sz w:val="24"/>
          <w:szCs w:val="24"/>
        </w:rPr>
        <w:t>Pechacek</w:t>
      </w:r>
      <w:proofErr w:type="spellEnd"/>
      <w:r>
        <w:rPr>
          <w:rFonts w:cs="Calibri"/>
          <w:sz w:val="24"/>
          <w:szCs w:val="24"/>
        </w:rPr>
        <w:t xml:space="preserve">, T.F. (2006, June). </w:t>
      </w:r>
    </w:p>
    <w:p w:rsidR="00A27A90" w:rsidRDefault="00A27A90" w:rsidP="00A27A90">
      <w:pPr>
        <w:spacing w:line="240" w:lineRule="auto"/>
        <w:ind w:left="720"/>
        <w:contextualSpacing/>
        <w:rPr>
          <w:rFonts w:cs="Calibri"/>
          <w:sz w:val="24"/>
          <w:szCs w:val="24"/>
        </w:rPr>
      </w:pPr>
      <w:r>
        <w:rPr>
          <w:rFonts w:cs="Calibri"/>
          <w:sz w:val="24"/>
          <w:szCs w:val="24"/>
        </w:rPr>
        <w:t xml:space="preserve">Trends in the exposure of nonsmokers in the U.S. population to secondhand smoke: 1988-2002. </w:t>
      </w:r>
      <w:r>
        <w:rPr>
          <w:rFonts w:cs="Calibri"/>
          <w:i/>
          <w:sz w:val="24"/>
          <w:szCs w:val="24"/>
        </w:rPr>
        <w:t>Environmental Health Perspectives, 114</w:t>
      </w:r>
      <w:r>
        <w:rPr>
          <w:rFonts w:cs="Calibri"/>
          <w:sz w:val="24"/>
          <w:szCs w:val="24"/>
        </w:rPr>
        <w:t>(6), 853-858.</w:t>
      </w:r>
    </w:p>
    <w:p w:rsidR="00A27A90" w:rsidRDefault="00A27A90" w:rsidP="00A27A90">
      <w:pPr>
        <w:spacing w:line="240" w:lineRule="auto"/>
        <w:contextualSpacing/>
        <w:rPr>
          <w:rFonts w:cs="Calibri"/>
          <w:sz w:val="24"/>
          <w:szCs w:val="24"/>
        </w:rPr>
      </w:pPr>
      <w:r>
        <w:rPr>
          <w:rFonts w:cs="Calibri"/>
          <w:sz w:val="24"/>
          <w:szCs w:val="24"/>
        </w:rPr>
        <w:t xml:space="preserve">Sample, D.A., Carroll, H.L., Barksdale, D.J., &amp; Jessup, A. (2013). The pediatric </w:t>
      </w:r>
    </w:p>
    <w:p w:rsidR="00A27A90" w:rsidRDefault="00A27A90" w:rsidP="00A27A90">
      <w:pPr>
        <w:spacing w:line="240" w:lineRule="auto"/>
        <w:ind w:left="720"/>
        <w:contextualSpacing/>
        <w:rPr>
          <w:rFonts w:cs="Calibri"/>
          <w:sz w:val="24"/>
          <w:szCs w:val="24"/>
        </w:rPr>
      </w:pPr>
      <w:proofErr w:type="gramStart"/>
      <w:r>
        <w:rPr>
          <w:rFonts w:cs="Calibri"/>
          <w:sz w:val="24"/>
          <w:szCs w:val="24"/>
        </w:rPr>
        <w:t>obesity</w:t>
      </w:r>
      <w:proofErr w:type="gramEnd"/>
      <w:r>
        <w:rPr>
          <w:rFonts w:cs="Calibri"/>
          <w:sz w:val="24"/>
          <w:szCs w:val="24"/>
        </w:rPr>
        <w:t xml:space="preserve"> initiative: Development, implementation, and evaluation. </w:t>
      </w:r>
      <w:r>
        <w:rPr>
          <w:rFonts w:cs="Calibri"/>
          <w:i/>
          <w:sz w:val="24"/>
          <w:szCs w:val="24"/>
        </w:rPr>
        <w:t>Journal of the American Association of Nurse Practitioners, 25</w:t>
      </w:r>
      <w:r>
        <w:rPr>
          <w:rFonts w:cs="Calibri"/>
          <w:sz w:val="24"/>
          <w:szCs w:val="24"/>
        </w:rPr>
        <w:t xml:space="preserve">, 481-487. </w:t>
      </w:r>
      <w:proofErr w:type="spellStart"/>
      <w:proofErr w:type="gramStart"/>
      <w:r>
        <w:rPr>
          <w:rFonts w:cs="Calibri"/>
          <w:sz w:val="24"/>
          <w:szCs w:val="24"/>
        </w:rPr>
        <w:t>doi</w:t>
      </w:r>
      <w:proofErr w:type="spellEnd"/>
      <w:proofErr w:type="gramEnd"/>
      <w:r>
        <w:rPr>
          <w:rFonts w:cs="Calibri"/>
          <w:sz w:val="24"/>
          <w:szCs w:val="24"/>
        </w:rPr>
        <w:t>: 10.1111/1745-7599.12012</w:t>
      </w:r>
    </w:p>
    <w:p w:rsidR="00A27A90" w:rsidRDefault="00A27A90" w:rsidP="00A27A90">
      <w:pPr>
        <w:spacing w:line="240" w:lineRule="auto"/>
        <w:contextualSpacing/>
        <w:rPr>
          <w:rFonts w:cs="Calibri"/>
          <w:i/>
          <w:sz w:val="24"/>
          <w:szCs w:val="24"/>
        </w:rPr>
      </w:pPr>
      <w:r>
        <w:rPr>
          <w:rFonts w:cs="Calibri"/>
          <w:sz w:val="24"/>
          <w:szCs w:val="24"/>
        </w:rPr>
        <w:t xml:space="preserve">U.S. Department of Health and Human Services. (2012, October). </w:t>
      </w:r>
      <w:r>
        <w:rPr>
          <w:rFonts w:cs="Calibri"/>
          <w:i/>
          <w:sz w:val="24"/>
          <w:szCs w:val="24"/>
        </w:rPr>
        <w:t xml:space="preserve">Expert Panel of </w:t>
      </w:r>
    </w:p>
    <w:p w:rsidR="00A27A90" w:rsidRDefault="00A27A90" w:rsidP="00A27A90">
      <w:pPr>
        <w:spacing w:line="240" w:lineRule="auto"/>
        <w:ind w:left="720"/>
        <w:contextualSpacing/>
        <w:rPr>
          <w:rFonts w:cs="Calibri"/>
          <w:sz w:val="24"/>
          <w:szCs w:val="24"/>
        </w:rPr>
      </w:pPr>
      <w:r>
        <w:rPr>
          <w:rFonts w:cs="Calibri"/>
          <w:i/>
          <w:sz w:val="24"/>
          <w:szCs w:val="24"/>
        </w:rPr>
        <w:t>Integrated Guidelines for Cardiovascular Health and Risk Reduction in Children and Adolescents: Summary Report</w:t>
      </w:r>
      <w:r>
        <w:rPr>
          <w:rFonts w:cs="Calibri"/>
          <w:sz w:val="24"/>
          <w:szCs w:val="24"/>
        </w:rPr>
        <w:t>. Retrieved from http://www.nhlbi.nih.gov/guidelines/cvd_ped/peds_guidelines_sum.pdf</w:t>
      </w:r>
    </w:p>
    <w:p w:rsidR="00A27A90" w:rsidRDefault="00A27A90" w:rsidP="00A27A90">
      <w:pPr>
        <w:spacing w:line="240" w:lineRule="auto"/>
        <w:contextualSpacing/>
        <w:rPr>
          <w:rFonts w:cs="Calibri"/>
          <w:sz w:val="24"/>
          <w:szCs w:val="24"/>
        </w:rPr>
      </w:pPr>
      <w:r>
        <w:rPr>
          <w:rFonts w:cs="Calibri"/>
          <w:sz w:val="24"/>
          <w:szCs w:val="24"/>
        </w:rPr>
        <w:t xml:space="preserve">Wilson, K.M., Klein, J.D., </w:t>
      </w:r>
      <w:proofErr w:type="spellStart"/>
      <w:r>
        <w:rPr>
          <w:rFonts w:cs="Calibri"/>
          <w:sz w:val="24"/>
          <w:szCs w:val="24"/>
        </w:rPr>
        <w:t>Blumkin</w:t>
      </w:r>
      <w:proofErr w:type="spellEnd"/>
      <w:r>
        <w:rPr>
          <w:rFonts w:cs="Calibri"/>
          <w:sz w:val="24"/>
          <w:szCs w:val="24"/>
        </w:rPr>
        <w:t xml:space="preserve">, A.K., Gottlieb, M., &amp; </w:t>
      </w:r>
      <w:proofErr w:type="spellStart"/>
      <w:r>
        <w:rPr>
          <w:rFonts w:cs="Calibri"/>
          <w:sz w:val="24"/>
          <w:szCs w:val="24"/>
        </w:rPr>
        <w:t>Winickoff</w:t>
      </w:r>
      <w:proofErr w:type="spellEnd"/>
      <w:r>
        <w:rPr>
          <w:rFonts w:cs="Calibri"/>
          <w:sz w:val="24"/>
          <w:szCs w:val="24"/>
        </w:rPr>
        <w:t xml:space="preserve">, J.P. (2011, </w:t>
      </w:r>
    </w:p>
    <w:p w:rsidR="00A27A90" w:rsidRDefault="00A27A90" w:rsidP="00A27A90">
      <w:pPr>
        <w:spacing w:line="240" w:lineRule="auto"/>
        <w:ind w:left="720"/>
        <w:contextualSpacing/>
        <w:rPr>
          <w:rFonts w:cs="Calibri"/>
          <w:sz w:val="24"/>
          <w:szCs w:val="24"/>
        </w:rPr>
      </w:pPr>
      <w:r>
        <w:rPr>
          <w:rFonts w:cs="Calibri"/>
          <w:sz w:val="24"/>
          <w:szCs w:val="24"/>
        </w:rPr>
        <w:t xml:space="preserve">January). Tobacco-smoke exposure in children who live in multiunit housing. </w:t>
      </w:r>
      <w:r>
        <w:rPr>
          <w:rFonts w:cs="Calibri"/>
          <w:i/>
          <w:sz w:val="24"/>
          <w:szCs w:val="24"/>
        </w:rPr>
        <w:t>Pediatrics, 127</w:t>
      </w:r>
      <w:r>
        <w:rPr>
          <w:rFonts w:cs="Calibri"/>
          <w:sz w:val="24"/>
          <w:szCs w:val="24"/>
        </w:rPr>
        <w:t xml:space="preserve">(1), 85-92. </w:t>
      </w:r>
      <w:proofErr w:type="spellStart"/>
      <w:proofErr w:type="gramStart"/>
      <w:r>
        <w:rPr>
          <w:rFonts w:cs="Calibri"/>
          <w:sz w:val="24"/>
          <w:szCs w:val="24"/>
        </w:rPr>
        <w:t>doi</w:t>
      </w:r>
      <w:proofErr w:type="spellEnd"/>
      <w:proofErr w:type="gramEnd"/>
      <w:r>
        <w:rPr>
          <w:rFonts w:cs="Calibri"/>
          <w:sz w:val="24"/>
          <w:szCs w:val="24"/>
        </w:rPr>
        <w:t>: 10.1542/peds.2010-2046</w:t>
      </w:r>
    </w:p>
    <w:p w:rsidR="00442889" w:rsidRDefault="00C14391" w:rsidP="00A27A90">
      <w:pPr>
        <w:spacing w:line="240" w:lineRule="auto"/>
        <w:contextualSpacing/>
      </w:pPr>
    </w:p>
    <w:sectPr w:rsidR="004428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r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sz w:val="24"/>
        <w:szCs w:val="24"/>
      </w:rPr>
    </w:lvl>
  </w:abstractNum>
  <w:abstractNum w:abstractNumId="2" w15:restartNumberingAfterBreak="0">
    <w:nsid w:val="00000003"/>
    <w:multiLevelType w:val="multilevel"/>
    <w:tmpl w:val="00000003"/>
    <w:name w:val="WW8Num3"/>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sz w:val="24"/>
        <w:szCs w:val="24"/>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sz w:val="24"/>
        <w:szCs w:val="24"/>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sz w:val="24"/>
        <w:szCs w:val="24"/>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A90"/>
    <w:rsid w:val="00410B1E"/>
    <w:rsid w:val="00A27A90"/>
    <w:rsid w:val="00BA05FA"/>
    <w:rsid w:val="00C14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97F3FC-E1D8-4547-99E3-5B721554B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7A90"/>
    <w:pPr>
      <w:suppressAutoHyphens/>
      <w:spacing w:after="200" w:line="276" w:lineRule="auto"/>
    </w:pPr>
    <w:rPr>
      <w:rFonts w:ascii="Calibri" w:eastAsia="Calibri" w:hAnsi="Calibri"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27A90"/>
    <w:pPr>
      <w:spacing w:after="0" w:line="240" w:lineRule="auto"/>
    </w:pPr>
  </w:style>
  <w:style w:type="character" w:customStyle="1" w:styleId="HeaderChar">
    <w:name w:val="Header Char"/>
    <w:basedOn w:val="DefaultParagraphFont"/>
    <w:link w:val="Header"/>
    <w:rsid w:val="00A27A90"/>
    <w:rPr>
      <w:rFonts w:ascii="Calibri" w:eastAsia="Calibri" w:hAnsi="Calibri" w:cs="Times New Roman"/>
      <w:lang w:eastAsia="zh-CN"/>
    </w:rPr>
  </w:style>
  <w:style w:type="paragraph" w:styleId="ListParagraph">
    <w:name w:val="List Paragraph"/>
    <w:basedOn w:val="Normal"/>
    <w:qFormat/>
    <w:rsid w:val="00A27A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4</Pages>
  <Words>1228</Words>
  <Characters>7000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Alisha McComb</dc:creator>
  <cp:keywords/>
  <dc:description/>
  <cp:lastModifiedBy>Alisha McComb</cp:lastModifiedBy>
  <cp:revision>2</cp:revision>
  <dcterms:created xsi:type="dcterms:W3CDTF">2017-10-21T23:48:00Z</dcterms:created>
  <dcterms:modified xsi:type="dcterms:W3CDTF">2017-10-22T00:09:00Z</dcterms:modified>
</cp:coreProperties>
</file>